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6EE6A" w14:textId="77777777" w:rsidR="00147AD9" w:rsidRDefault="00000000">
      <w:pPr>
        <w:jc w:val="center"/>
        <w:rPr>
          <w:rFonts w:ascii="Times New Roman" w:eastAsia="方正大黑体_GBK" w:hAnsi="Times New Roman" w:cs="Times New Roman"/>
          <w:b/>
          <w:bCs/>
          <w:sz w:val="28"/>
          <w:szCs w:val="28"/>
        </w:rPr>
      </w:pPr>
      <w:r>
        <w:rPr>
          <w:rFonts w:ascii="Times New Roman" w:eastAsia="方正大黑体_GBK" w:hAnsi="Times New Roman" w:cs="Times New Roman"/>
          <w:b/>
          <w:bCs/>
          <w:sz w:val="28"/>
          <w:szCs w:val="28"/>
        </w:rPr>
        <w:t>The Promotion Effect of Corporate Green Culture on Employee Green Behavior: The Dual Mediating Role of Green Leadership and Psychological Contract with Moderated Organizational Support</w:t>
      </w:r>
    </w:p>
    <w:p w14:paraId="52854AEC" w14:textId="77777777" w:rsidR="00147AD9" w:rsidRDefault="00147AD9">
      <w:pPr>
        <w:rPr>
          <w:rFonts w:ascii="Times New Roman" w:eastAsia="方正大黑体_GBK" w:hAnsi="Times New Roman" w:cs="Times New Roman"/>
          <w:sz w:val="24"/>
        </w:rPr>
      </w:pPr>
    </w:p>
    <w:p w14:paraId="5E9827A9" w14:textId="77777777" w:rsidR="00147AD9" w:rsidRDefault="00000000">
      <w:pPr>
        <w:spacing w:afterLines="50" w:after="156"/>
        <w:rPr>
          <w:rFonts w:ascii="Times New Roman" w:eastAsia="方正大黑体_GBK" w:hAnsi="Times New Roman" w:cs="Times New Roman"/>
          <w:b/>
          <w:bCs/>
          <w:sz w:val="24"/>
        </w:rPr>
      </w:pPr>
      <w:r>
        <w:rPr>
          <w:rFonts w:ascii="Times New Roman" w:eastAsia="方正大黑体_GBK" w:hAnsi="Times New Roman" w:cs="Times New Roman"/>
          <w:b/>
          <w:bCs/>
          <w:sz w:val="24"/>
        </w:rPr>
        <w:t>Abstract</w:t>
      </w:r>
    </w:p>
    <w:p w14:paraId="0E3655C4"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This study investigates how corporate green culture fosters employee green behavior through a dual-mediation mechanism and under conditional organizational contexts. Drawing on social cognitive theory and psychological contract theory, the research proposes a conceptual model in which green leadership and psychological contract act as parallel mediators, while perceived organizational support moderates these relationships. The model aims to capture both relational and cognitive pathways through which environmental values are internalized and enacted at the employee level.</w:t>
      </w:r>
    </w:p>
    <w:p w14:paraId="5584EBBC"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A quantitative survey was conducted with employees from multiple industries, and structural equation modeling was employed to test the hypothesized relationships. The findings confirm that corporate green culture significantly influences employee green behavior, both directly and indirectly through green leadership and psychological contract. Furthermore, perceived organizational support was found to strengthen the effect of green leadership but not the effect of psychological contract, highlighting the asymmetry in contextual sensitivity between social and cognitive mechanisms.</w:t>
      </w:r>
    </w:p>
    <w:p w14:paraId="67547997"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This study contributes to the literature by integrating cultural, leadership, and psychological dimensions into a unified model of green behavior. It refines our understanding of the distinct yet interdependent roles of leadership modeling and psychological obligation in translating cultural values into pro-environmental action. The research also adds nuance to the role of perceived organizational support, demonstrating its selective impact on relational channels of influence.</w:t>
      </w:r>
    </w:p>
    <w:p w14:paraId="2EC97E15"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The findings offer practical insights for organizations aiming to institutionalize sustainability. Developing a strong green culture must be complemented by authentic leadership and visible organizational support systems to effectively engage employees in environmental responsibility.</w:t>
      </w:r>
    </w:p>
    <w:p w14:paraId="02F6B882"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b/>
          <w:bCs/>
          <w:sz w:val="24"/>
        </w:rPr>
        <w:t>Keywords:</w:t>
      </w:r>
      <w:r>
        <w:rPr>
          <w:rFonts w:ascii="Times New Roman" w:eastAsia="方正大黑体_GBK" w:hAnsi="Times New Roman" w:cs="Times New Roman"/>
          <w:sz w:val="24"/>
        </w:rPr>
        <w:t>Corporate Green Culture; Employee Green Behavior; Green Leadership; Psychological Contract; Perceived Organizational Support</w:t>
      </w:r>
    </w:p>
    <w:p w14:paraId="4E1114A3" w14:textId="77777777" w:rsidR="00147AD9" w:rsidRDefault="00147AD9">
      <w:pPr>
        <w:spacing w:afterLines="50" w:after="156"/>
        <w:rPr>
          <w:rFonts w:ascii="Times New Roman" w:eastAsia="方正大黑体_GBK" w:hAnsi="Times New Roman" w:cs="Times New Roman"/>
          <w:sz w:val="24"/>
        </w:rPr>
      </w:pPr>
    </w:p>
    <w:p w14:paraId="0051A104" w14:textId="77777777" w:rsidR="00147AD9" w:rsidRDefault="00147AD9">
      <w:pPr>
        <w:spacing w:afterLines="50" w:after="156"/>
        <w:rPr>
          <w:rFonts w:ascii="Times New Roman" w:eastAsia="方正大黑体_GBK" w:hAnsi="Times New Roman" w:cs="Times New Roman"/>
          <w:sz w:val="24"/>
        </w:rPr>
      </w:pPr>
    </w:p>
    <w:p w14:paraId="569ABADE" w14:textId="77777777" w:rsidR="00147AD9" w:rsidRDefault="00000000">
      <w:pPr>
        <w:spacing w:afterLines="50" w:after="156"/>
        <w:rPr>
          <w:rFonts w:ascii="Times New Roman" w:eastAsia="方正大黑体_GBK" w:hAnsi="Times New Roman" w:cs="Times New Roman"/>
          <w:b/>
          <w:bCs/>
          <w:sz w:val="24"/>
        </w:rPr>
      </w:pPr>
      <w:r>
        <w:rPr>
          <w:rFonts w:ascii="Times New Roman" w:eastAsia="方正大黑体_GBK" w:hAnsi="Times New Roman" w:cs="Times New Roman"/>
          <w:b/>
          <w:bCs/>
          <w:sz w:val="24"/>
        </w:rPr>
        <w:t>1. Introduction</w:t>
      </w:r>
    </w:p>
    <w:p w14:paraId="08FFBB22"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 xml:space="preserve">As global ecological concerns intensify and sustainability becomes a strategic imperative, organizations are increasingly called upon to integrate environmental </w:t>
      </w:r>
      <w:r>
        <w:rPr>
          <w:rFonts w:ascii="Times New Roman" w:eastAsia="方正大黑体_GBK" w:hAnsi="Times New Roman" w:cs="Times New Roman"/>
          <w:sz w:val="24"/>
        </w:rPr>
        <w:lastRenderedPageBreak/>
        <w:t>values into their core operations and cultures. Among various organizational drivers, corporate green culture (CGC)—defined as the shared values, norms, and practices that emphasize ecological responsibility—has emerged as a foundational force shaping employees’ pro-environmental attitudes and behaviors. However, despite growing recognition of CGC’s relevance, existing research often conceptualizes it as a direct antecedent of employee green behavior (EGB), leaving underexplored the psychological and relational mechanisms through which such cultural signals are internalized and enacted at the individual level.</w:t>
      </w:r>
    </w:p>
    <w:p w14:paraId="55BAB91A"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This study addresses these theoretical gaps by advancing a moderated dual-mediation model that elucidates how CGC influences EGB through two distinct but complementary pathways: green transformational leadership (GTL) and the psychological contract (PC). Drawing on social learning theory (Bandura, 2001), GTL is conceptualized as a behavioral conduit through which the abstract values embedded in CGC are modeled and communicated. Leaders who articulate an environmental vision, demonstrate eco-responsible behaviors, and promote sustainability-related goals provide observable referents that shape employee cognition and motivation. In parallel, social exchange theory (Blau, 1964) provides the foundation for understanding PC as a cognitive-affective mechanism. When employees perceive organizational commitment to environmental values, they develop a sense of mutual obligation and internalize green norms as part of their psychological contract, thereby becoming more inclined to engage in voluntary green behaviors.</w:t>
      </w:r>
    </w:p>
    <w:p w14:paraId="775C0BA9"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While these mechanisms provide explanatory insight, the effectiveness of CGC in shaping EGB is not uniform across organizational contexts. To capture this conditionality, the present study incorporates perceived organizational support (POS) as a boundary condition. Rooted in organizational support theory (Eisenberger et al., 1986), POS reflects employees’ beliefs regarding the extent to which their environmental contributions are valued by the organization. High POS reinforces the salience and legitimacy of both leadership behavior and psychological obligations, thereby amplifying their influence on green behavioral outcomes. Conversely, in contexts characterized by low support, such cues may be interpreted as symbolic or disingenuous, attenuating their motivational impact.</w:t>
      </w:r>
    </w:p>
    <w:p w14:paraId="21383DD8"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By integrating these constructs into a unified theoretical model, this study offers three key contributions. First, it moves beyond simplistic, direct-effect models by articulating dual mediating mechanisms—relational and cognitive—that clarify how CGC translates into EGB. Second, it introduces POS as a dual-path moderator, offering a contingent view of how organizational context shapes the efficacy of cultural and psychological influences. Third, it synthesizes insights from social learning, social exchange, and organizational support theories, yielding a more comprehensive understanding of green behavior formation within organizational settings.</w:t>
      </w:r>
    </w:p>
    <w:p w14:paraId="05A94D3B" w14:textId="77777777" w:rsidR="00147AD9" w:rsidRDefault="00147AD9">
      <w:pPr>
        <w:spacing w:afterLines="50" w:after="156"/>
        <w:rPr>
          <w:rFonts w:ascii="Times New Roman" w:eastAsia="方正大黑体_GBK" w:hAnsi="Times New Roman" w:cs="Times New Roman"/>
          <w:sz w:val="24"/>
        </w:rPr>
      </w:pPr>
    </w:p>
    <w:p w14:paraId="4B048808" w14:textId="77777777" w:rsidR="00147AD9" w:rsidRDefault="00000000">
      <w:pPr>
        <w:spacing w:afterLines="50" w:after="156"/>
        <w:rPr>
          <w:rFonts w:ascii="Times New Roman" w:eastAsia="方正大黑体_GBK" w:hAnsi="Times New Roman" w:cs="Times New Roman"/>
          <w:b/>
          <w:bCs/>
          <w:sz w:val="24"/>
        </w:rPr>
      </w:pPr>
      <w:r>
        <w:rPr>
          <w:rFonts w:ascii="Times New Roman" w:eastAsia="方正大黑体_GBK" w:hAnsi="Times New Roman" w:cs="Times New Roman"/>
          <w:b/>
          <w:bCs/>
          <w:sz w:val="24"/>
        </w:rPr>
        <w:t>2 Literature review</w:t>
      </w:r>
    </w:p>
    <w:p w14:paraId="07E36C35"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lastRenderedPageBreak/>
        <w:t>2.1 Theoretical Model</w:t>
      </w:r>
    </w:p>
    <w:p w14:paraId="3ABAE3CD"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This study is grounded primarily in Social Exchange Theory (SET) (Blau, 1964), which posits that organizational actions perceived as beneficial by employees create a sense of obligation that motivates reciprocation. In the context of environmental management, when organizations actively foster a Corporate Green Culture (CGC)—defined as shared values, practices, and strategic orientations towards ecological sustainability—employees perceive this investment as an organizational offering that warrants reciprocation through pro-environmental behaviors (Rubel, Kee, &amp; Rimi, 2025; Yu &amp; Li, 2024).</w:t>
      </w:r>
    </w:p>
    <w:p w14:paraId="2EC2124E"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However, the influence of CGC on Employee Green Behavior (EGB) is rarely direct. Rather, it is enacted through relational and cognitive mechanisms. First, Green Transformational Leadership (GTL) functions as a symbolic and behavioral interpreter of organizational culture. Drawing from Social Learning Theory (Bandura, 2001), employees observe and internalize the green behaviors and values modeled by their leaders. In this way, GTL serves as a relational conduit that translates abstract cultural values into visible and actionable norms (Chen &amp; Chang, 2013; Elshaer et al., 2024). Leaders who consistently promote green visions, demonstrate eco-friendly conduct, and encourage green innovation reinforce the credibility and salience of CGC in daily work contexts (Asante, 2024; Gazi et al., 2025).</w:t>
      </w:r>
    </w:p>
    <w:p w14:paraId="66450437"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Second, from a cognitive-affective perspective, Psychological Contract (PC) represents employees’ internalized sense of mutual obligation based on perceived organizational commitments. A strong green culture not only shapes formal policies but also signals implicit expectations for reciprocal ecological responsibility. Employees who perceive alignment between organizational values and their own environmental concerns are more likely to internalize these expectations as part of their work identity, thereby engaging in voluntary green behaviors (Mostafa, 2025; Arslan et al., 2025).</w:t>
      </w:r>
    </w:p>
    <w:p w14:paraId="00BF8F92"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To further refine this framework, we introduce Perceived Organizational Support (POS) as a moderator of the relationship between the two mediators (GTL and PC) and EGB. According to Organizational Support Theory (Eisenberger et al., 1986), when employees believe that the organization values their environmental contributions and provides sufficient support, they are more likely to respond to leadership cues and internalized obligations with behavioral commitment. High POS amplifies the motivational effects of green leadership and reinforces the legitimacy of psychological contracts. In contrast, low POS may lead employees to dismiss these cues as performative or symbolic, thus weakening the indirect effects (Ahmed et al., 2024; Abualigah et al., 2024).</w:t>
      </w:r>
    </w:p>
    <w:p w14:paraId="4FF3827E"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 xml:space="preserve">Accordingly, this study develops an integrative dual-mediation model in which CGC exerts its influence on EGB through both GTL and PC, with POS acting as a dual-path moderator that conditions the effectiveness of each mediating mechanism. This framework not only advances theoretical understanding of how green culture shapes behavior, but also addresses critical gaps in the literature by jointly examining </w:t>
      </w:r>
      <w:r>
        <w:rPr>
          <w:rFonts w:ascii="Times New Roman" w:eastAsia="方正大黑体_GBK" w:hAnsi="Times New Roman" w:cs="Times New Roman"/>
          <w:sz w:val="24"/>
        </w:rPr>
        <w:lastRenderedPageBreak/>
        <w:t>leadership, cognition, and contextual support within a single model.</w:t>
      </w:r>
    </w:p>
    <w:p w14:paraId="4BE20D4A"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2.2 Corporate Green Culture and Employee Green Behavior</w:t>
      </w:r>
    </w:p>
    <w:p w14:paraId="3A24BC4E"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In the contemporary organizational landscape, where environmental accountability is increasingly institutionalized, the role of corporate green culture (CGC) as a foundational antecedent to employee green behavior (EGB) has garnered widespread scholarly attention. CGC refers to the constellation of shared environmental values, beliefs, and practices embedded within an organization’s formal and informal systems, which collectively shape employee perceptions and behaviors toward ecological sustainability (Li et al., 2025; Mirahsani et al., 2024). As a form of organizational climate specifically oriented toward sustainability, CGC signals both the moral and strategic importance of environmental action, thereby creating normative and cognitive contexts in which green behaviors are legitimized and expected.</w:t>
      </w:r>
    </w:p>
    <w:p w14:paraId="2E58CFCF"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Empirical studies have consistently shown that CGC positively influences a wide range of pro-environmental behaviors, including energy conservation, waste reduction, recycling, and sustainable innovation (Yu &amp; Li, 2024; Rubel, Kee, &amp; Rimi, 2025). For instance, Elshaer et al. (2024) demonstrated that a strong green culture in the hospitality sector leads to increased employee participation in sustainability initiatives, mediated by environmental commitment. Similarly, Loedphacharakamon and Worakittikul (2025) found that CGC enhances not only individual green behavior but also contributes to organizational performance via improved employee alignment with eco-strategic goals. These findings reinforce the proposition that CGC functions as an institutionalized context that both empowers and constrains employee behavior in line with environmental imperatives.</w:t>
      </w:r>
    </w:p>
    <w:p w14:paraId="2028F904"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Theoretically, this relationship can be interpreted through the lens of social cognitive theory (Bandura, 2001), which posits that behavior is jointly determined by environmental influences, cognitive processes, and behavioral reinforcement. CGC, in this framework, constitutes a symbolic environmental structure that conveys desirable behavior through both explicit messaging and tacit norms. Employees operating in a green cultural context are more likely to observe and internalize sustainable behavior as part of organizational identity and role expectations (Zhao et al., 2025). Moreover, CGC facilitates value congruence between the individual and the organization, which has been shown to predict stronger organizational citizenship behavior for the environment (OCBE) (Asante, 2024; Zhang, Xu, &amp; Liu, 2025).Recent studies also highlight the role of individual motivational orientations in mediating the impact of organizational and contextual cues on green behavior. For instance, Chen, Mei, and Sun (2025) demonstrate that egoistic motivations—such as the pursuit of social approval or personal utility—can be effectively transformed into pro-environmental purchasing behavior when symbolic and functional benefits are salient. This finding suggests that within a strong corporate green culture, employees may similarly reframe their self-interest through symbolic alignment with environmental norms, reinforcing voluntary green actions.</w:t>
      </w:r>
    </w:p>
    <w:p w14:paraId="5EE5C67F"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 xml:space="preserve">Despite the growing empirical consensus on the positive CGC–EGB linkage, critical </w:t>
      </w:r>
      <w:r>
        <w:rPr>
          <w:rFonts w:ascii="Times New Roman" w:eastAsia="方正大黑体_GBK" w:hAnsi="Times New Roman" w:cs="Times New Roman"/>
          <w:sz w:val="24"/>
        </w:rPr>
        <w:lastRenderedPageBreak/>
        <w:t>gaps remain in understanding how this relationship is enacted and under what conditions it yields consistent behavioral outcomes. A substantial proportion of existing studies treat CGC as a direct predictor of EGB, without systematically accounting for the cognitive-affective or relational mechanisms through which cultural signals are translated into individual behavior (Gazi et al., 2025). This omission limits explanatory power, especially in contexts where the presence of CGC does not uniformly produce green behavioral compliance. For example, employees may recognize the symbolic presence of CGC but fail to act accordingly if intermediary mechanisms—such as supportive leadership or psychological buy-in—are weak or absent.</w:t>
      </w:r>
    </w:p>
    <w:p w14:paraId="2FFCF13F"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Furthermore, the boundary conditions under which CGC influences EGB are still underexplored. Organizational factors such as green HRM (Jabeen et al., 2025), ethical leadership (Şengüllendi, Bilgetürk, &amp; Afacan Fındıklı, 2024), and perceived greenwashing (Elshaer et al., 2025) can either strengthen or dilute the effects of CGC. Particularly, when CGC is perceived as superficial or inconsistent with managerial practices, it may generate cynicism rather than motivation (Ahmed et al., 2024). Conversely, in organizations where CGC is supported by empowering leadership and embedded HR systems, its influence on EGB is significantly amplified (Al-Alawneh, Othman, &amp; Zaid, 2024; Noor Faezah et al., 2024).</w:t>
      </w:r>
    </w:p>
    <w:p w14:paraId="15BFC213"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Recent contributions have thus called for integrated models that incorporate mediating mechanisms and contextual moderators to better capture the multifaceted nature of CGC's impact on employee behavior (Priatna et al., 2025; Gazi et al., 2025). One promising direction is to examine how CGC functions as a distal driver that activates green transformational leadership (GTL) and strengthens psychological contracts around sustainability, both of which have been identified as critical links in the culture–behavior chain. Additionally, perceived organizational support (POS) has emerged as a crucial moderator that conditions employees’ interpretation of green culture as either authentic and actionable or merely rhetorical (Rubel et al., 2025; Abualigah et al., 2024).</w:t>
      </w:r>
    </w:p>
    <w:p w14:paraId="7885119D"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In sum, while the existing literature affirms the relevance of CGC in promoting EGB, there is a pressing need to move beyond simple correlational models toward more processual and multilevel frameworks. These should account for how green cultural signals are translated into action through leadership enactment, psychological obligation, and contextual reinforcement. The current study addresses this need by situating CGC within a moderated dual mediation model, wherein GTL and psychological contract function as parallel mediators and POS as a key boundary condition.</w:t>
      </w:r>
    </w:p>
    <w:p w14:paraId="2401B583"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Accordingly, based on the established theoretical and empirical foundation, the following hypothesis is proposed:</w:t>
      </w:r>
      <w:r>
        <w:rPr>
          <w:rFonts w:ascii="Times New Roman" w:eastAsia="方正大黑体_GBK" w:hAnsi="Times New Roman" w:cs="Times New Roman"/>
          <w:sz w:val="24"/>
        </w:rPr>
        <w:br/>
        <w:t>H1: Corporate green culture (CGC) is positively associated with employee green behavior (EGB).</w:t>
      </w:r>
    </w:p>
    <w:p w14:paraId="709D37A1" w14:textId="77777777" w:rsidR="00147AD9" w:rsidRDefault="00147AD9">
      <w:pPr>
        <w:spacing w:afterLines="50" w:after="156"/>
        <w:rPr>
          <w:rFonts w:ascii="Times New Roman" w:eastAsia="方正大黑体_GBK" w:hAnsi="Times New Roman" w:cs="Times New Roman"/>
          <w:sz w:val="24"/>
        </w:rPr>
      </w:pPr>
    </w:p>
    <w:p w14:paraId="5A6C21E9"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lastRenderedPageBreak/>
        <w:t>2.3The Mediating Role of Green Transformational Leadership</w:t>
      </w:r>
    </w:p>
    <w:p w14:paraId="015DBC65"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Transformational leadership theory has long emphasized the capacity of leaders to inspire, motivate, and align followers with broader organizational goals. Extending this tradition into the sustainability domain, green transformational leadership (GTL) has been defined as a leadership style that articulates a compelling environmental vision, demonstrates pro-environmental behavior, and actively supports employees’ ecological engagement (Chen &amp; Chang, 2013; Aycan, Cinli, &amp; Robertson, 2025). As such, GTL is not merely an extension of conventional leadership into a green domain, but a unique relational mechanism through which environmental values are mobilized and enacted at the employee level (Zhang, Xu, &amp; Liu, 2025).</w:t>
      </w:r>
    </w:p>
    <w:p w14:paraId="04110C84"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Theoretical and empirical evidence increasingly positions GTL as a key behavioral translator of corporate green culture (CGC). From a social learning perspective (Bandura, 2001), GTL enables the observational internalization of green norms by role modeling environmentally responsible behavior and reinforcing these behaviors through individualized consideration and intellectual stimulation. Employees who perceive their leaders as authentically committed to sustainability are more likely to interpret CGC as credible and personally relevant, which in turn motivates green discretionary behavior (Han, Chen, &amp; Jiang, 2025; Asante, 2024).</w:t>
      </w:r>
    </w:p>
    <w:p w14:paraId="1D19E2AC"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Recent empirical studies have substantiated GTL’s mediating role in the culture–behavior relationship. For instance, Elshaer et al. (2024) identified GTL as a significant mechanism through which green-oriented cultural values influence frontline employees' environmental conduct in the hospitality sector. Similarly, Priatna et al. (2025) found that GTL partially mediates the effect of CGC on employee green behavior via its impact on green HRM perceptions and green organizational climate. Other work suggests that GTL enhances employees' self-efficacy and green innovation through affective mechanisms such as trust and moral identity (Gazi et al., 2025; Mughal et al., 2024).</w:t>
      </w:r>
    </w:p>
    <w:p w14:paraId="0519A0BC"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Moreover, GTL has been linked to green psychological empowerment, pro-environmental commitment, and green advocacy, all of which serve as proximal antecedents to green behavior (Waqas et al., 2025; Luo, Ng, &amp; Choong, 2025). These findings suggest that GTL does more than inspire—it shapes the psychological conditions under which employees feel confident, obligated, and enabled to act sustainably. As such, GTL represents not just a leadership behavior but a socializing agent, bridging organizational-level cultural signals and individual-level behavioral responses (Chadha et al., 2025).</w:t>
      </w:r>
    </w:p>
    <w:p w14:paraId="433801FC"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Accordingly, it is reasonable to propose that green transformational leadership may itself be shaped by the presence of a strong corporate green culture.</w:t>
      </w:r>
      <w:r>
        <w:rPr>
          <w:rFonts w:ascii="Times New Roman" w:eastAsia="方正大黑体_GBK" w:hAnsi="Times New Roman" w:cs="Times New Roman"/>
          <w:sz w:val="24"/>
        </w:rPr>
        <w:br/>
        <w:t>H2: Corporate green culture (CGC) is positively associated with green transformational leadership (GTL).</w:t>
      </w:r>
    </w:p>
    <w:p w14:paraId="56B0ECC9"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 xml:space="preserve">Despite these advances, most existing models have treated GTL either as an independent antecedent of EGB or as an outcome of CGC, without fully embedding it </w:t>
      </w:r>
      <w:r>
        <w:rPr>
          <w:rFonts w:ascii="Times New Roman" w:eastAsia="方正大黑体_GBK" w:hAnsi="Times New Roman" w:cs="Times New Roman"/>
          <w:sz w:val="24"/>
        </w:rPr>
        <w:lastRenderedPageBreak/>
        <w:t>within a dual mediation framework alongside cognitive-affective mechanisms such as the psychological contract. This fragmented treatment overlooks the possibility that GTL may operate in tandem with, or even interactively influence, other internalization mechanisms that explain how employees cognitively and emotionally process green cultural cues (Mostafa, 2025; Arslan, Do, &amp; Ekmekcioglu, 2025). Furthermore, while GTL is often studied in isolation, few studies account for contextual moderators such as perceived organizational support, which may condition the credibility, salience, and efficacy of leadership behavior (Rubel et al., 2025; Abualigah et al., 2024).</w:t>
      </w:r>
    </w:p>
    <w:p w14:paraId="5C78C112"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A growing number of scholars have begun to advocate for multi-layered leadership models that capture the interdependence of cultural context, leadership behavior, and employee perception. Amrutha and Geetha (2024), for instance, demonstrated that GTL mediates the effects of green strategic vision on environmental citizenship behavior only when organizational climate is supportive and empowering. Similarly, Li et al. (2025) found that the relationship between green leadership and EGB is enhanced in the presence of a psychologically safe, pro-environmental work environment.</w:t>
      </w:r>
    </w:p>
    <w:p w14:paraId="1F93B884"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Taken together, these findings converge on the notion that GTL functions as a strategic mediating mechanism through which CGC is translated into behavioral commitment. Rather than exerting a direct and uniform effect, CGC operates through relational dynamics shaped by leadership behavior. The extent to which employees enact green behavior thus depends not only on their perception of organizational values but also on how those values are enacted and embodied by leaders.</w:t>
      </w:r>
      <w:r>
        <w:rPr>
          <w:rFonts w:ascii="Times New Roman" w:eastAsia="方正大黑体_GBK" w:hAnsi="Times New Roman" w:cs="Times New Roman"/>
          <w:sz w:val="24"/>
        </w:rPr>
        <w:br/>
        <w:t>H4: Green transformational leadership (GTL) mediates the relationship between corporate green culture (CGC) and employee green behavior (EGB).</w:t>
      </w:r>
    </w:p>
    <w:p w14:paraId="011A65CA"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2.4 The Mediating Role of Psychological Contract</w:t>
      </w:r>
    </w:p>
    <w:p w14:paraId="6CBFB4F2"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The concept of the psychological contract (PC) has long been employed to explain how implicit mutual obligations between employees and their organizations shape work-related attitudes and behaviors (Rousseau, 1995). In the context of environmental sustainability, PC is increasingly understood as encompassing not only traditional economic and socio-emotional expectations, but also employees’ perceptions of organizational commitment to ecological values and reciprocal expectations regarding their own green behaviors (Mostafa, 2025; Chadha et al., 2025). As a cognitive-affective construct, PC reflects how employees interpret environmental cues within the workplace and internalize them as part of their relational obligations.</w:t>
      </w:r>
    </w:p>
    <w:p w14:paraId="118D9B75"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 xml:space="preserve">Recent studies suggest that corporate green culture (CGC) contributes significantly to the formation of green psychological contracts. When employees perceive a strong and consistent organizational emphasis on sustainability—manifested through policies, norms, and managerial discourse—they are more likely to develop an internalized sense of responsibility to act in environmentally responsible ways (Mirahsani et al., 2024; Arslan, Do, &amp; Ekmekcioglu, 2025). The presence of a green-oriented culture not only signals the organization’s environmental identity but also reshapes </w:t>
      </w:r>
      <w:r>
        <w:rPr>
          <w:rFonts w:ascii="Times New Roman" w:eastAsia="方正大黑体_GBK" w:hAnsi="Times New Roman" w:cs="Times New Roman"/>
          <w:sz w:val="24"/>
        </w:rPr>
        <w:lastRenderedPageBreak/>
        <w:t>employees’ expectations of what constitutes appropriate conduct in the employer–employee relationship (Ahmed et al., 2024). In such contexts, sustainable behavior becomes not merely an act of compliance, but a form of reciprocity aligned with perceived obligations and organizational support.</w:t>
      </w:r>
      <w:r>
        <w:rPr>
          <w:rFonts w:ascii="Times New Roman" w:eastAsia="方正大黑体_GBK" w:hAnsi="Times New Roman" w:cs="Times New Roman"/>
          <w:sz w:val="24"/>
        </w:rPr>
        <w:br/>
        <w:t>H3: Corporate green culture (CGC) is positively associated with psychological contract (PC).</w:t>
      </w:r>
    </w:p>
    <w:p w14:paraId="009199F8"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Empirical evidence confirms the mediating role of PC in the relationship between organizational culture and employee green behavior (EGB). For instance, Arslan et al. (2025) demonstrated that psychological contract fulfillment mediates the effect of corporate social responsibility (CSR) signals on employees’ voluntary green behavior, highlighting the importance of perceived alignment between organizational values and individual beliefs. Similarly, Mostafa (2025) found that internal CSR practices foster stronger PC perceptions, which in turn predict employee advocacy and sustained engagement in environmental activities. These findings underscore the role of PC as a cognitive mechanism through which green values are interpreted and enacted.</w:t>
      </w:r>
    </w:p>
    <w:p w14:paraId="6CCC76FD"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Moreover, PC formation is often reinforced by leadership behavior, particularly when leaders demonstrate consistency between cultural rhetoric and practice. Studies have shown that transformational and responsible leadership amplify the effects of CGC on PC development, thereby deepening employees’ sense of trust and moral obligation to fulfill their perceived roles (Luo, Ng, &amp; Choong, 2025; Han, Chen, &amp; Jiang, 2025). Employees are more likely to uphold the psychological contract when they believe their leaders and organizations are authentically committed to sustainability, rather than engaging in superficial or performative environmental signaling (Elshaer et al., 2025).</w:t>
      </w:r>
    </w:p>
    <w:p w14:paraId="7AFDB514"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Despite these developments, psychological contract theory has rarely been fully integrated into models of environmental behavior as a core mediating mechanism. Existing research often treats PC as a supplementary or downstream construct, failing to capture its central role in translating macro-level organizational culture into micro-level behavioral responses. Furthermore, the interaction between PC and other mechanisms—such as green leadership or perceived organizational support—has not been systematically examined. For example, the extent to which PC mediates the CGC–EGB link may depend on contextual reinforcements such as supervisor consistency, organizational justice, or environmental HRM practices (Jabeen et al., 2025; Li et al., 2025).</w:t>
      </w:r>
    </w:p>
    <w:p w14:paraId="7218BEAB"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 xml:space="preserve">To address these limitations, the present study conceptualizes PC as a primary mediating variable that operates alongside green transformational leadership in channeling the effects of CGC on EGB. Whereas leadership serves as an interpersonal and motivational vehicle, PC reflects the cognitive-affective agreement that governs employee behavior in environmentally committed organizations. This dual mediation framework enables a more nuanced and comprehensive understanding of how institutionalized green values become internalized as personal obligations and enacted </w:t>
      </w:r>
      <w:r>
        <w:rPr>
          <w:rFonts w:ascii="Times New Roman" w:eastAsia="方正大黑体_GBK" w:hAnsi="Times New Roman" w:cs="Times New Roman"/>
          <w:sz w:val="24"/>
        </w:rPr>
        <w:lastRenderedPageBreak/>
        <w:t>as voluntary green behavior.</w:t>
      </w:r>
      <w:r>
        <w:rPr>
          <w:rFonts w:ascii="Times New Roman" w:eastAsia="方正大黑体_GBK" w:hAnsi="Times New Roman" w:cs="Times New Roman"/>
          <w:sz w:val="24"/>
        </w:rPr>
        <w:br/>
        <w:t>H5: Psychological contract (PC) mediates the relationship between corporate green culture (CGC) and employee green behavior (EGB).</w:t>
      </w:r>
    </w:p>
    <w:p w14:paraId="3A579072"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2.5 The Moderating Role of Perceived Organizational Support</w:t>
      </w:r>
    </w:p>
    <w:p w14:paraId="4C4D35A9"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Perceived organizational support (POS) refers to employees’ generalized beliefs regarding the extent to which the organization values their contributions and cares about their well-being (Eisenberger et al., 1986; Rhoades &amp; Eisenberger, 2002). In the sustainability context, POS is increasingly conceptualized as encompassing support for employees’ pro-environmental behaviors and environmental values, also referred to as green POS (Rubel, Kee, &amp; Rimi, 2025; Abualigah et al., 2024). When employees perceive their organization as supportive of their ecological engagement, they are more likely to reciprocate through voluntary green behaviors aligned with organizational goals.</w:t>
      </w:r>
    </w:p>
    <w:p w14:paraId="491082D7"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Within the framework of social exchange theory, POS serves as a powerful contextual cue that shapes employees' attitudes toward discretionary behavior. In particular, high POS creates a sense of mutual obligation, trust, and psychological safety, all of which are conducive to sustained engagement in extra-role behaviors, including those aimed at environmental improvement (Elshaer et al., 2024; Liu et al., 2024). In this regard, POS does not merely act as a direct antecedent of employee green behavior (EGB) but may also serve as a boundary condition that strengthens or weakens the effectiveness of other antecedents, such as green transformational leadership (GTL) and psychological contract (PC).</w:t>
      </w:r>
    </w:p>
    <w:p w14:paraId="197841E8"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Recent empirical research has begun to explore POS as a moderator in green behavior models. For example, Gazi et al. (2025) found that POS amplified the effect of corporate social responsibility (CSR) perceptions on EGB by reinforcing employees’ sense of ecological reciprocity. Similarly, Ahmed et al. (2024) observed that POS strengthened the indirect effect of green HRM on green organizational citizenship behavior via green identity and psychological engagement. These findings suggest that POS not only facilitates employee responsiveness to environmental initiatives but also conditions the extent to which leadership and culture-based signals are internalized and acted upon.</w:t>
      </w:r>
    </w:p>
    <w:p w14:paraId="358525EB"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In the context of leadership, high levels of POS may enhance the salience and credibility of green transformational behaviors, making employees more likely to emulate and respond to environmentally oriented leadership styles. Conversely, in low POS environments, even the presence of green leadership may be insufficient to elicit meaningful behavioral change, as employees may interpret such behavior as inconsistent or unsupported by broader organizational structures (Amrutha &amp; Geetha, 2024; Zhang, Xu, &amp; Liu, 2025).</w:t>
      </w:r>
      <w:r>
        <w:rPr>
          <w:rFonts w:ascii="Times New Roman" w:eastAsia="方正大黑体_GBK" w:hAnsi="Times New Roman" w:cs="Times New Roman"/>
          <w:sz w:val="24"/>
        </w:rPr>
        <w:br/>
        <w:t>H6: Perceived organizational support (POS) positively moderates the relationship between green transformational leadership (GTL) and employee green behavior (EGB), such that the relationship is stronger under high POS.</w:t>
      </w:r>
    </w:p>
    <w:p w14:paraId="500C6A88"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lastRenderedPageBreak/>
        <w:t>Similarly, the impact of CGC on the formation and fulfillment of psychological contracts may be moderated by POS. High POS reinforces employees’ perception that the organization is sincerely committed to mutual goals, thereby intensifying the affective bond and increasing the likelihood that employees will reciprocate with green behavior (Mostafa, 2025; Chadha et al., 2025). In contrast, when POS is low, even a strong CGC may be perceived as rhetorical or performative, weakening psychological contract formation and limiting behavioral expression (Elshaer et al., 2025).</w:t>
      </w:r>
      <w:r>
        <w:rPr>
          <w:rFonts w:ascii="Times New Roman" w:eastAsia="方正大黑体_GBK" w:hAnsi="Times New Roman" w:cs="Times New Roman"/>
          <w:sz w:val="24"/>
        </w:rPr>
        <w:br/>
        <w:t>H7: Perceived organizational support (POS) positively moderates the relationship between psychological contract (PC) and employee green behavior (EGB), such that the relationship is stronger under high POS.</w:t>
      </w:r>
    </w:p>
    <w:p w14:paraId="075FCC29"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Despite this growing recognition, POS has often been modeled as a main effect or a mediator, rather than a moderator in complex environmental behavior models. This conceptual oversight constrains theoretical development by failing to account for the conditions under which leadership and psychological mechanisms become more or less effective. Furthermore, few studies have tested POS as a dual-path moderator, simultaneously shaping multiple mediation channels within a unified model (Jabeen et al., 2025; Li et al., 2025).</w:t>
      </w:r>
    </w:p>
    <w:p w14:paraId="0127F1D4"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To address these gaps, the present study conceptualizes POS as a moderating variable that conditions both the GTL–EGB and PC–EGB pathways. By doing so, it integrates insights from social exchange theory, social learning theory, and organizational support theory to capture a more nuanced picture of how environmental behavior emerges within organizations. This approach also acknowledges that employees’ behavioral responses to cultural, relational, and psychological cues are shaped not in isolation, but within an overarching context of perceived organizational support.</w:t>
      </w:r>
    </w:p>
    <w:p w14:paraId="7474F694"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2.6Integrative Framework and Research Gap</w:t>
      </w:r>
    </w:p>
    <w:p w14:paraId="46247E2F"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The preceding review highlights a growing body of scholarship that establishes corporate green culture (CGC), green transformational leadership (GTL), psychological contract (PC), and perceived organizational support (POS) as important constructs in understanding employee green behavior (EGB). However, the existing literature remains fragmented, with most studies examining these constructs either in isolation or through limited dyadic associations, thereby lacking an integrated, multilevel framework that fully captures the complexity and conditionality of the CGC–EGB relationship.</w:t>
      </w:r>
    </w:p>
    <w:p w14:paraId="01099E2E"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 xml:space="preserve">Specifically, CGC has been widely recognized as a foundational cultural force that embeds sustainability into the organizational fabric, shaping employee values, cognition, and behavioral orientations (Yu &amp; Li, 2024; Li et al., 2025). Yet, the mechanisms through which CGC influences EGB are frequently underexplored or assumed to be direct, despite robust theoretical arguments and emerging empirical evidence suggesting that culture often operates through intervening relational and psychological pathways (Rubel et al., 2025; Elshaer et al., 2024). Such oversights have resulted in under-specified models that cannot adequately explain behavioral </w:t>
      </w:r>
      <w:r>
        <w:rPr>
          <w:rFonts w:ascii="Times New Roman" w:eastAsia="方正大黑体_GBK" w:hAnsi="Times New Roman" w:cs="Times New Roman"/>
          <w:sz w:val="24"/>
        </w:rPr>
        <w:lastRenderedPageBreak/>
        <w:t>heterogeneity in green engagement.</w:t>
      </w:r>
    </w:p>
    <w:p w14:paraId="6905FAAA"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In parallel, GTL has been identified as a critical relational conduit through which CGC is enacted and interpreted by employees. As role models and motivational agents, green transformational leaders reinforce environmental norms, enhance behavioral salience, and encourage voluntary green initiatives (Priatna et al., 2025; Gazi et al., 2025). However, few studies have situated GTL explicitly as a mediating mechanism within CGC-based frameworks, limiting the understanding of how leadership translates abstract cultural values into concrete behavioral patterns.</w:t>
      </w:r>
    </w:p>
    <w:p w14:paraId="256E2F31"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Similarly, psychological contract theory provides a robust explanation of how employees internalize organizational values and reciprocate through discretionary efforts. PC captures the cognitive-affective bond that compels individuals to align with perceived organizational priorities (Mostafa, 2025; Arslan et al., 2025). While its mediating role has been explored in HRM and CSR contexts, the integration of PC into green cultural and leadership models remains conceptually underdeveloped. The interactive influence of GTL and PC, though theoretically synergistic, is rarely empirically examined in sustainability-focused frameworks.</w:t>
      </w:r>
    </w:p>
    <w:p w14:paraId="0F152B2B"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Moreover, perceived organizational support (POS) has received limited attention as a contextual moderator in green behavior models. Although POS is increasingly recognized as an antecedent or mediator, few studies conceptualize it as a boundary condition that amplifies or attenuates the influence of GTL and PC on EGB (Abualigah et al., 2024; Ahmed et al., 2024). This omission restricts our understanding of when leadership and psychological mechanisms are most impactful and under what organizational climates their effects are muted or strengthened.</w:t>
      </w:r>
    </w:p>
    <w:p w14:paraId="3A25C539"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Taken together, these gaps suggest the need for a moderated dual-mediation model that positions CGC as a distal antecedent of EGB, operating through two parallel mediating mechanisms—GTL and PC—and conditional on the level of POS. Such a model not only integrates insights from social learning theory, social exchange theory, and organizational support theory, but also provides a multilevel, processual account of how green culture is internalized and enacted in contemporary organizations. By empirically testing this framework, the present study aims to contribute to a more nuanced and holistic understanding of sustainable behavior in organizational settings.</w:t>
      </w:r>
    </w:p>
    <w:p w14:paraId="560BE2D0" w14:textId="77777777" w:rsidR="00147AD9" w:rsidRDefault="00000000">
      <w:pPr>
        <w:spacing w:afterLines="50" w:after="156"/>
        <w:rPr>
          <w:rFonts w:ascii="Times New Roman" w:eastAsia="宋体" w:hAnsi="Times New Roman" w:cs="Times New Roman"/>
          <w:sz w:val="24"/>
        </w:rPr>
      </w:pPr>
      <w:r>
        <w:rPr>
          <w:rFonts w:ascii="Times New Roman" w:eastAsia="宋体" w:hAnsi="Times New Roman" w:cs="Times New Roman"/>
          <w:sz w:val="24"/>
        </w:rPr>
        <w:t xml:space="preserve">The conceptual framework of this moderated dual-mediation model is illustrated in </w:t>
      </w:r>
      <w:r>
        <w:rPr>
          <w:rStyle w:val="a7"/>
          <w:rFonts w:ascii="Times New Roman" w:eastAsia="宋体" w:hAnsi="Times New Roman" w:cs="Times New Roman"/>
          <w:sz w:val="24"/>
        </w:rPr>
        <w:t>Figure 1</w:t>
      </w:r>
      <w:r>
        <w:rPr>
          <w:rFonts w:ascii="Times New Roman" w:eastAsia="宋体" w:hAnsi="Times New Roman" w:cs="Times New Roman"/>
          <w:sz w:val="24"/>
        </w:rPr>
        <w:t>.</w:t>
      </w:r>
    </w:p>
    <w:p w14:paraId="21092DDD" w14:textId="77777777" w:rsidR="00147AD9" w:rsidRDefault="00000000">
      <w:pPr>
        <w:rPr>
          <w:rFonts w:ascii="Times New Roman" w:eastAsia="宋体" w:hAnsi="Times New Roman" w:cs="Times New Roman"/>
          <w:sz w:val="24"/>
        </w:rPr>
      </w:pPr>
      <w:r>
        <w:rPr>
          <w:rFonts w:ascii="Times New Roman" w:eastAsia="宋体" w:hAnsi="Times New Roman" w:cs="Times New Roman"/>
          <w:noProof/>
          <w:sz w:val="24"/>
        </w:rPr>
        <w:lastRenderedPageBreak/>
        <w:drawing>
          <wp:inline distT="0" distB="0" distL="114300" distR="114300" wp14:anchorId="3532944E" wp14:editId="707042C9">
            <wp:extent cx="5271135" cy="2162175"/>
            <wp:effectExtent l="0" t="0" r="5715" b="0"/>
            <wp:docPr id="4" name="图片 4" descr="英文模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英文模型图"/>
                    <pic:cNvPicPr>
                      <a:picLocks noChangeAspect="1"/>
                    </pic:cNvPicPr>
                  </pic:nvPicPr>
                  <pic:blipFill>
                    <a:blip r:embed="rId5"/>
                    <a:stretch>
                      <a:fillRect/>
                    </a:stretch>
                  </pic:blipFill>
                  <pic:spPr>
                    <a:xfrm>
                      <a:off x="0" y="0"/>
                      <a:ext cx="5271135" cy="2162175"/>
                    </a:xfrm>
                    <a:prstGeom prst="rect">
                      <a:avLst/>
                    </a:prstGeom>
                  </pic:spPr>
                </pic:pic>
              </a:graphicData>
            </a:graphic>
          </wp:inline>
        </w:drawing>
      </w:r>
    </w:p>
    <w:p w14:paraId="78314B20" w14:textId="77777777" w:rsidR="00147AD9" w:rsidRDefault="00000000">
      <w:pPr>
        <w:jc w:val="center"/>
        <w:rPr>
          <w:rFonts w:ascii="Times New Roman" w:eastAsia="宋体" w:hAnsi="Times New Roman" w:cs="Times New Roman"/>
          <w:sz w:val="24"/>
        </w:rPr>
      </w:pPr>
      <w:r>
        <w:rPr>
          <w:rFonts w:ascii="Times New Roman" w:eastAsia="宋体" w:hAnsi="Times New Roman" w:cs="Times New Roman"/>
          <w:sz w:val="24"/>
        </w:rPr>
        <w:t>Figure 1. Theoretical Framework of the Moderated Dual-Mediation Model</w:t>
      </w:r>
    </w:p>
    <w:p w14:paraId="161C14A5" w14:textId="77777777" w:rsidR="00147AD9" w:rsidRDefault="00147AD9">
      <w:pPr>
        <w:jc w:val="center"/>
        <w:rPr>
          <w:rFonts w:ascii="Times New Roman" w:eastAsia="宋体" w:hAnsi="Times New Roman" w:cs="Times New Roman"/>
          <w:sz w:val="24"/>
        </w:rPr>
      </w:pPr>
    </w:p>
    <w:p w14:paraId="4E50C7E5" w14:textId="77777777" w:rsidR="00147AD9" w:rsidRDefault="00000000">
      <w:pPr>
        <w:spacing w:afterLines="50" w:after="156"/>
        <w:rPr>
          <w:rFonts w:ascii="Times New Roman" w:eastAsia="方正大黑体_GBK" w:hAnsi="Times New Roman" w:cs="Times New Roman"/>
          <w:b/>
          <w:bCs/>
          <w:sz w:val="24"/>
        </w:rPr>
      </w:pPr>
      <w:r>
        <w:rPr>
          <w:rFonts w:ascii="Times New Roman" w:eastAsia="方正大黑体_GBK" w:hAnsi="Times New Roman" w:cs="Times New Roman"/>
          <w:b/>
          <w:bCs/>
          <w:sz w:val="24"/>
        </w:rPr>
        <w:t>3. Method</w:t>
      </w:r>
    </w:p>
    <w:p w14:paraId="0C1180C0"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b/>
          <w:bCs/>
          <w:sz w:val="24"/>
        </w:rPr>
        <w:t>3.1 Research Design</w:t>
      </w:r>
    </w:p>
    <w:p w14:paraId="1684F016"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This study adopts a cross-sectional quantitative research design to examine the mechanisms through which corporate green culture (CGC) influences employee green behavior (EGB), with green transformational leadership (GTL) and psychological contract (PC) as mediators, and perceived organizational support (POS) as a moderator. The research model is grounded in social exchange theory and organizational support theory, which emphasize the reciprocal nature of employee behavior in response to perceived organizational values and leadership signals (Arslan et al., 2025; Elshaer et al., 2024).</w:t>
      </w:r>
    </w:p>
    <w:p w14:paraId="04FB4786"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The choice of a survey-based design is consistent with prior studies in green organizational behavior, which have demonstrated the utility of structured questionnaires in capturing employees’ perceptions, attitudes, and pro-environmental actions within organizational contexts (Rubel et al., 2025; Gazi et al., 2025). This approach allows for the simultaneous examination of multiple latent variables and their structural relationships through structural equation modeling (SEM), as recommended in recent hospitality and service industry research (Mirahsani et al., 2024; Amrutha &amp; Geetha, 2024).</w:t>
      </w:r>
    </w:p>
    <w:p w14:paraId="36F396C1"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The model builds upon previous work that has independently linked CGC, GTL, and PC to various forms of green behavior, but rarely tested them in an integrated moderated mediation framework (Ahmed et al., 2024; Mostafa, 2025). By incorporating POS as a boundary condition, this study addresses a growing call in the literature to contextualize green behavior within broader organizational climates and support systems (Abualigah et al., 2024; Liu et al., 2024).</w:t>
      </w:r>
    </w:p>
    <w:p w14:paraId="39EB30FF"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 xml:space="preserve">All constructs were measured using validated multi-item scales from prior empirical studies, adapted to the specific cultural and industrial context of this research. The target population comprises employees from diverse industries, enabling generalizability of the findings beyond a single sector. Data were collected using an online self-administered questionnaire to ensure standardization and reduce </w:t>
      </w:r>
      <w:r>
        <w:rPr>
          <w:rFonts w:ascii="Times New Roman" w:eastAsia="方正大黑体_GBK" w:hAnsi="Times New Roman" w:cs="Times New Roman"/>
          <w:sz w:val="24"/>
        </w:rPr>
        <w:lastRenderedPageBreak/>
        <w:t>interviewer bias, which is common practice in green HRM and leadership studies (Jabeen et al., 2025; Zhang et al., 2025).</w:t>
      </w:r>
    </w:p>
    <w:p w14:paraId="0EC37A09"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To mitigate common method bias, several procedural remedies were adopted, including anonymity assurance, reverse-coded items, and proximal separation of scale items. Additionally, statistical remedies such as Harman’s single factor test and confirmatory factor analysis (CFA) were conducted to validate construct distinctiveness (Wang et al., 2024; Rubel et al., 2025).</w:t>
      </w:r>
    </w:p>
    <w:p w14:paraId="7C2D651C"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3.2 Measurement Instruments</w:t>
      </w:r>
    </w:p>
    <w:p w14:paraId="748CEC10"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All variables in this study were measured using validated multi-item scales derived from established literature to ensure construct validity and reliability. A five-point Likert scale was adopted for all items (1 = strongly disagree to 5 = strongly agree).</w:t>
      </w:r>
    </w:p>
    <w:p w14:paraId="5D491C9E"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Corporate Green Culture (CGC) was measured using a 4-item scale developed by Cameron and Quinn (1999), which evaluates the extent to which the organization embeds environmental values into its policies, practices, and daily operations. Sample items include “The company actively advocates environmental concepts and integrates them into organizational culture” and “The company strives to reduce environmental impact in all business processes.”</w:t>
      </w:r>
    </w:p>
    <w:p w14:paraId="58DBCE83"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Green Leadership (GL) was assessed using a 4-item scale proposed by Chen and Chang (2013), capturing leaders’ communication of green visions, behavioral modeling, and support for green innovation. Items include “Leaders frequently communicate the company's green vision and environmental goals” and “Leaders encourage employees to participate in environmental protection activities and provide support and motivation.” Similar constructs have been empirically validated in hospitality and manufacturing contexts (e.g., Elshaer et al., 2024; Asante, 2024).</w:t>
      </w:r>
    </w:p>
    <w:p w14:paraId="038E4DC3"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Psychological Contract (PC) was measured using a 4-item scale adapted from Rousseau (1995), focusing on employees’ perceptions of mutual environmental responsibility and organizational commitment. A representative item is “I believe the company will fulfill its environmental protection commitments.” The psychological contract has been shown to significantly influence pro-environmental behavior in green HRM contexts (Arslan et al., 2025; Ahmed et al., 2025).</w:t>
      </w:r>
    </w:p>
    <w:p w14:paraId="0549E0F9"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Employee Green Behavior (EGB) was assessed with a 4-item scale from Graves et al. (2013), capturing employees' voluntary ecological behaviors at the workplace, such as energy conservation, material reuse, and active advocacy. Sample items include “I actively reduce resource waste at work” and “I actively advocate environmental concepts and green behaviors in the workplace.” This construct has been widely adopted in sustainability research (Rubel et al., 2025; Zhang et al., 2024).</w:t>
      </w:r>
    </w:p>
    <w:p w14:paraId="7E486D98"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 xml:space="preserve">Perceived Organizational Support (POS) for green behavior was measured using a 4-item scale from Eisenberger et al. (1986), revised to reflect environmental-specific support. Sample items include “The company values my environmental efforts and contributions at work” and “The company provides sufficient resources and support </w:t>
      </w:r>
      <w:r>
        <w:rPr>
          <w:rFonts w:ascii="Times New Roman" w:eastAsia="方正大黑体_GBK" w:hAnsi="Times New Roman" w:cs="Times New Roman"/>
          <w:sz w:val="24"/>
        </w:rPr>
        <w:lastRenderedPageBreak/>
        <w:t>for my green activities.” Prior studies have demonstrated that green POS significantly mediates the relationship between green leadership and employee behavior (Mirahsani et al., 2024; Gazi et al., 2025).</w:t>
      </w:r>
    </w:p>
    <w:p w14:paraId="3BA168D0" w14:textId="77777777" w:rsidR="00147AD9" w:rsidRDefault="00000000">
      <w:pPr>
        <w:spacing w:afterLines="50" w:after="156"/>
        <w:rPr>
          <w:rFonts w:ascii="Times New Roman" w:eastAsia="方正大黑体_GBK" w:hAnsi="Times New Roman" w:cs="Times New Roman"/>
          <w:b/>
          <w:bCs/>
          <w:sz w:val="24"/>
        </w:rPr>
      </w:pPr>
      <w:r>
        <w:rPr>
          <w:rFonts w:ascii="Times New Roman" w:eastAsia="方正大黑体_GBK" w:hAnsi="Times New Roman" w:cs="Times New Roman"/>
          <w:b/>
          <w:bCs/>
          <w:sz w:val="24"/>
        </w:rPr>
        <w:t>4. Data Analysis</w:t>
      </w:r>
    </w:p>
    <w:p w14:paraId="3A3ED27F" w14:textId="77777777" w:rsidR="00147AD9" w:rsidRDefault="00000000">
      <w:pPr>
        <w:spacing w:afterLines="50" w:after="156"/>
        <w:rPr>
          <w:rFonts w:ascii="Times New Roman" w:eastAsia="方正大黑体_GBK" w:hAnsi="Times New Roman" w:cs="Times New Roman"/>
          <w:b/>
          <w:bCs/>
          <w:sz w:val="24"/>
        </w:rPr>
      </w:pPr>
      <w:r>
        <w:rPr>
          <w:rFonts w:ascii="Times New Roman" w:eastAsia="方正大黑体_GBK" w:hAnsi="Times New Roman" w:cs="Times New Roman"/>
          <w:sz w:val="24"/>
        </w:rPr>
        <w:t>4.1 Descriptive Statistics</w:t>
      </w:r>
    </w:p>
    <w:p w14:paraId="171E314C"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To ensure analytical rigor and external validity, the present study adopted a stratified sampling approach to capture a demographically and professionally diverse population. A total of 353 valid responses were collected from full-time employees working across a range of industries in China. Table 1 provides an overview of the respondents’ demographic characteristics, encompassing gender, age, education level, industry sector, and organizational rank(see Table 1).</w:t>
      </w:r>
    </w:p>
    <w:p w14:paraId="7C55FE4F"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In terms of gender composition, 57% of the respondents were female (n = 200), and 43% were male (n = 153), which approximates the gender balance observed in recent labor force statistics for service and knowledge-intensive industries in China (Mirahsani et al., 2024). This balance helps minimize gender-related bias in the expression and evaluation of green behavior in the workplace.</w:t>
      </w:r>
    </w:p>
    <w:p w14:paraId="0A0A0467"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Regarding age distribution, the sample exhibits notable coverage of different career stages. The largest cohort of participants falls within the 31–40 age range (31%), followed by those aged 26–30 (24%) and 41–50 (17%). These age groups are commonly associated with peak career involvement and value alignment with organizational priorities, including sustainability (Gazi et al., 2025). Younger employees (18–25) and older employees (above 50) were also represented, albeit in smaller proportions, thus ensuring generational breadth in the evaluation of organizational green culture and employee responses.</w:t>
      </w:r>
    </w:p>
    <w:p w14:paraId="3D57A5E1"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The educational background of respondents indicates a high degree of cognitive and professional capacity, with 62% holding a bachelor’s degree, 27% having completed junior college, and 8% possessing graduate-level degrees (master’s or doctorate). As environmental attitudes and green behaviors are often positively associated with higher education levels (Rubel, Kee, &amp; Rimi, 2025), this distribution supports the psychological and behavioral plausibility of green workplace engagement.</w:t>
      </w:r>
    </w:p>
    <w:p w14:paraId="668386FF"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In terms of industrial distribution, the sample spans ten major sectors, including IT/Internet (20%), finance (16%), education/research (15%), construction/real estate (12%), manufacturing (8%), and healthcare (8%). This industrial heterogeneity is essential for generalizing the findings across economic contexts with varying environmental impact profiles and regulatory pressures (Abualigah et al., 2024). It also allows for analysis of how green culture and leadership dynamics may differ across institutionalized versus innovation-driven sectors (Jabeen et al., 2025).</w:t>
      </w:r>
    </w:p>
    <w:p w14:paraId="5EDED1CE"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 xml:space="preserve">Furthermore, the hierarchical distribution is weighted toward frontline employees (90%), with middle managers (8%) and senior managers (2%) also represented. Frontline employees are typically the most directly exposed to operational </w:t>
      </w:r>
      <w:r>
        <w:rPr>
          <w:rFonts w:ascii="Times New Roman" w:eastAsia="方正大黑体_GBK" w:hAnsi="Times New Roman" w:cs="Times New Roman"/>
          <w:sz w:val="24"/>
        </w:rPr>
        <w:lastRenderedPageBreak/>
        <w:t>sustainability practices and organizational culture transmission (Elshaer et al., 2024). Their inclusion as the dominant respondent group thus reinforces the relevance and ecological validity of studying employee green behavior (EGB) at the behavioral implementation level.</w:t>
      </w:r>
    </w:p>
    <w:p w14:paraId="2523BEA1"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Collectively, the diversity in demographic, educational, industrial, and positional variables ensures the representativeness of the sample relative to the broader urban workforce and secures heterogeneity that is crucial for identifying the boundary conditions and mediating processes in green behavior modeling. This sample design aligns with established methodological guidelines emphasizing that heterogeneity enhances external validity, reduces sampling bias, and allows for moderation and subgroup analyses (Amrutha &amp; Geetha, 2024; Liu et al., 2024).</w:t>
      </w:r>
    </w:p>
    <w:p w14:paraId="6754E474" w14:textId="77777777" w:rsidR="00147AD9" w:rsidRDefault="00000000">
      <w:pPr>
        <w:jc w:val="center"/>
        <w:rPr>
          <w:rFonts w:ascii="Times New Roman" w:eastAsia="宋体" w:hAnsi="Times New Roman" w:cs="Times New Roman"/>
          <w:bCs/>
          <w:color w:val="000000"/>
          <w:kern w:val="0"/>
          <w:sz w:val="22"/>
          <w:szCs w:val="22"/>
          <w:lang w:bidi="ar"/>
        </w:rPr>
      </w:pPr>
      <w:r>
        <w:rPr>
          <w:rFonts w:ascii="Times New Roman" w:eastAsia="宋体" w:hAnsi="Times New Roman" w:cs="Times New Roman"/>
          <w:sz w:val="22"/>
          <w:szCs w:val="22"/>
        </w:rPr>
        <w:t>Table 1  Sample Characteristics</w:t>
      </w:r>
    </w:p>
    <w:tbl>
      <w:tblPr>
        <w:tblStyle w:val="a6"/>
        <w:tblW w:w="0" w:type="auto"/>
        <w:tblLook w:val="04A0" w:firstRow="1" w:lastRow="0" w:firstColumn="1" w:lastColumn="0" w:noHBand="0" w:noVBand="1"/>
      </w:tblPr>
      <w:tblGrid>
        <w:gridCol w:w="1969"/>
        <w:gridCol w:w="2379"/>
        <w:gridCol w:w="1976"/>
        <w:gridCol w:w="1982"/>
      </w:tblGrid>
      <w:tr w:rsidR="00147AD9" w14:paraId="4BC9B993" w14:textId="77777777">
        <w:tc>
          <w:tcPr>
            <w:tcW w:w="2130" w:type="dxa"/>
            <w:tcBorders>
              <w:top w:val="single" w:sz="12" w:space="0" w:color="000000"/>
              <w:left w:val="nil"/>
              <w:bottom w:val="single" w:sz="4" w:space="0" w:color="000000"/>
              <w:right w:val="nil"/>
              <w:tl2br w:val="nil"/>
            </w:tcBorders>
            <w:shd w:val="clear" w:color="auto" w:fill="FFFFFF"/>
            <w:vAlign w:val="center"/>
          </w:tcPr>
          <w:p w14:paraId="3ECD184C"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bCs/>
                <w:color w:val="000000"/>
                <w:kern w:val="0"/>
                <w:sz w:val="22"/>
                <w:szCs w:val="22"/>
                <w:lang w:bidi="ar"/>
              </w:rPr>
              <w:t>Variable</w:t>
            </w:r>
          </w:p>
        </w:tc>
        <w:tc>
          <w:tcPr>
            <w:tcW w:w="2130" w:type="dxa"/>
            <w:tcBorders>
              <w:top w:val="single" w:sz="12" w:space="0" w:color="000000"/>
              <w:left w:val="nil"/>
              <w:bottom w:val="single" w:sz="4" w:space="0" w:color="000000"/>
              <w:right w:val="nil"/>
            </w:tcBorders>
            <w:shd w:val="clear" w:color="auto" w:fill="FFFFFF"/>
            <w:vAlign w:val="center"/>
          </w:tcPr>
          <w:p w14:paraId="5D29F380"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bCs/>
                <w:color w:val="000000"/>
                <w:kern w:val="0"/>
                <w:sz w:val="22"/>
                <w:szCs w:val="22"/>
                <w:lang w:bidi="ar"/>
              </w:rPr>
              <w:t>Category</w:t>
            </w:r>
          </w:p>
        </w:tc>
        <w:tc>
          <w:tcPr>
            <w:tcW w:w="2131" w:type="dxa"/>
            <w:tcBorders>
              <w:top w:val="single" w:sz="12" w:space="0" w:color="000000"/>
              <w:left w:val="nil"/>
              <w:bottom w:val="single" w:sz="4" w:space="0" w:color="000000"/>
              <w:right w:val="nil"/>
            </w:tcBorders>
            <w:shd w:val="clear" w:color="auto" w:fill="FFFFFF"/>
            <w:vAlign w:val="center"/>
          </w:tcPr>
          <w:p w14:paraId="2D6F51D0"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bCs/>
                <w:color w:val="000000"/>
                <w:kern w:val="0"/>
                <w:sz w:val="22"/>
                <w:szCs w:val="22"/>
                <w:lang w:bidi="ar"/>
              </w:rPr>
              <w:t>Frequency</w:t>
            </w:r>
          </w:p>
        </w:tc>
        <w:tc>
          <w:tcPr>
            <w:tcW w:w="2131" w:type="dxa"/>
            <w:tcBorders>
              <w:top w:val="single" w:sz="12" w:space="0" w:color="000000"/>
              <w:left w:val="nil"/>
              <w:bottom w:val="single" w:sz="4" w:space="0" w:color="000000"/>
              <w:right w:val="nil"/>
            </w:tcBorders>
            <w:shd w:val="clear" w:color="auto" w:fill="FFFFFF"/>
            <w:vAlign w:val="center"/>
          </w:tcPr>
          <w:p w14:paraId="22A26A0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bCs/>
                <w:color w:val="000000"/>
                <w:kern w:val="0"/>
                <w:sz w:val="22"/>
                <w:szCs w:val="22"/>
                <w:lang w:bidi="ar"/>
              </w:rPr>
              <w:t>Percentage</w:t>
            </w:r>
          </w:p>
        </w:tc>
      </w:tr>
      <w:tr w:rsidR="00147AD9" w14:paraId="3512D302" w14:textId="77777777">
        <w:tc>
          <w:tcPr>
            <w:tcW w:w="2130" w:type="dxa"/>
            <w:tcBorders>
              <w:top w:val="single" w:sz="4" w:space="0" w:color="000000"/>
              <w:left w:val="nil"/>
              <w:bottom w:val="nil"/>
              <w:right w:val="nil"/>
            </w:tcBorders>
            <w:shd w:val="clear" w:color="auto" w:fill="FFFFFF"/>
            <w:vAlign w:val="center"/>
          </w:tcPr>
          <w:p w14:paraId="14E116FE"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Gender</w:t>
            </w:r>
          </w:p>
        </w:tc>
        <w:tc>
          <w:tcPr>
            <w:tcW w:w="2130" w:type="dxa"/>
            <w:tcBorders>
              <w:top w:val="single" w:sz="4" w:space="0" w:color="000000"/>
              <w:left w:val="nil"/>
              <w:bottom w:val="nil"/>
              <w:right w:val="nil"/>
            </w:tcBorders>
            <w:shd w:val="clear" w:color="auto" w:fill="FFFFFF"/>
            <w:vAlign w:val="center"/>
          </w:tcPr>
          <w:p w14:paraId="1A3BD8E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Male</w:t>
            </w:r>
          </w:p>
        </w:tc>
        <w:tc>
          <w:tcPr>
            <w:tcW w:w="2131" w:type="dxa"/>
            <w:tcBorders>
              <w:top w:val="single" w:sz="4" w:space="0" w:color="000000"/>
              <w:left w:val="nil"/>
              <w:bottom w:val="nil"/>
              <w:right w:val="nil"/>
            </w:tcBorders>
            <w:shd w:val="clear" w:color="auto" w:fill="FFFFFF"/>
            <w:vAlign w:val="center"/>
          </w:tcPr>
          <w:p w14:paraId="04FCEC7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153</w:t>
            </w:r>
          </w:p>
        </w:tc>
        <w:tc>
          <w:tcPr>
            <w:tcW w:w="2131" w:type="dxa"/>
            <w:tcBorders>
              <w:top w:val="single" w:sz="4" w:space="0" w:color="000000"/>
              <w:left w:val="nil"/>
              <w:bottom w:val="nil"/>
              <w:right w:val="nil"/>
            </w:tcBorders>
            <w:shd w:val="clear" w:color="auto" w:fill="FFFFFF"/>
            <w:vAlign w:val="center"/>
          </w:tcPr>
          <w:p w14:paraId="76083CD6"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43%</w:t>
            </w:r>
          </w:p>
        </w:tc>
      </w:tr>
      <w:tr w:rsidR="00147AD9" w14:paraId="639BD538" w14:textId="77777777">
        <w:tc>
          <w:tcPr>
            <w:tcW w:w="2130" w:type="dxa"/>
            <w:tcBorders>
              <w:top w:val="nil"/>
              <w:left w:val="nil"/>
              <w:bottom w:val="nil"/>
              <w:right w:val="nil"/>
            </w:tcBorders>
            <w:shd w:val="clear" w:color="auto" w:fill="FFFFFF"/>
            <w:vAlign w:val="center"/>
          </w:tcPr>
          <w:p w14:paraId="2E35B18B" w14:textId="77777777" w:rsidR="00147AD9" w:rsidRDefault="00147AD9">
            <w:pPr>
              <w:jc w:val="center"/>
              <w:rPr>
                <w:rFonts w:ascii="Times New Roman" w:eastAsia="宋体" w:hAnsi="Times New Roman" w:cs="Times New Roman"/>
                <w:color w:val="000000"/>
                <w:sz w:val="22"/>
                <w:szCs w:val="22"/>
              </w:rPr>
            </w:pPr>
          </w:p>
        </w:tc>
        <w:tc>
          <w:tcPr>
            <w:tcW w:w="2130" w:type="dxa"/>
            <w:tcBorders>
              <w:top w:val="nil"/>
              <w:left w:val="nil"/>
              <w:bottom w:val="nil"/>
              <w:right w:val="nil"/>
            </w:tcBorders>
            <w:shd w:val="clear" w:color="auto" w:fill="FFFFFF"/>
            <w:vAlign w:val="center"/>
          </w:tcPr>
          <w:p w14:paraId="5CE8F5B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Female</w:t>
            </w:r>
          </w:p>
        </w:tc>
        <w:tc>
          <w:tcPr>
            <w:tcW w:w="2131" w:type="dxa"/>
            <w:tcBorders>
              <w:top w:val="nil"/>
              <w:left w:val="nil"/>
              <w:bottom w:val="nil"/>
              <w:right w:val="nil"/>
            </w:tcBorders>
            <w:shd w:val="clear" w:color="auto" w:fill="FFFFFF"/>
            <w:vAlign w:val="center"/>
          </w:tcPr>
          <w:p w14:paraId="70274D9C"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200</w:t>
            </w:r>
          </w:p>
        </w:tc>
        <w:tc>
          <w:tcPr>
            <w:tcW w:w="2131" w:type="dxa"/>
            <w:tcBorders>
              <w:top w:val="nil"/>
              <w:left w:val="nil"/>
              <w:bottom w:val="nil"/>
              <w:right w:val="nil"/>
            </w:tcBorders>
            <w:shd w:val="clear" w:color="auto" w:fill="FFFFFF"/>
            <w:vAlign w:val="center"/>
          </w:tcPr>
          <w:p w14:paraId="2ED95B99"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57%</w:t>
            </w:r>
          </w:p>
        </w:tc>
      </w:tr>
      <w:tr w:rsidR="00147AD9" w14:paraId="17630261" w14:textId="77777777">
        <w:tc>
          <w:tcPr>
            <w:tcW w:w="2130" w:type="dxa"/>
            <w:tcBorders>
              <w:top w:val="nil"/>
              <w:left w:val="nil"/>
              <w:bottom w:val="nil"/>
              <w:right w:val="nil"/>
            </w:tcBorders>
            <w:shd w:val="clear" w:color="auto" w:fill="FFFFFF"/>
            <w:vAlign w:val="center"/>
          </w:tcPr>
          <w:p w14:paraId="6C4FC0F9"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Age</w:t>
            </w:r>
          </w:p>
        </w:tc>
        <w:tc>
          <w:tcPr>
            <w:tcW w:w="2130" w:type="dxa"/>
            <w:tcBorders>
              <w:top w:val="nil"/>
              <w:left w:val="nil"/>
              <w:bottom w:val="nil"/>
              <w:right w:val="nil"/>
            </w:tcBorders>
            <w:shd w:val="clear" w:color="auto" w:fill="FFFFFF"/>
            <w:vAlign w:val="center"/>
          </w:tcPr>
          <w:p w14:paraId="4AAB056B"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18–25 years</w:t>
            </w:r>
          </w:p>
        </w:tc>
        <w:tc>
          <w:tcPr>
            <w:tcW w:w="2131" w:type="dxa"/>
            <w:tcBorders>
              <w:top w:val="nil"/>
              <w:left w:val="nil"/>
              <w:bottom w:val="nil"/>
              <w:right w:val="nil"/>
            </w:tcBorders>
            <w:shd w:val="clear" w:color="auto" w:fill="FFFFFF"/>
            <w:vAlign w:val="center"/>
          </w:tcPr>
          <w:p w14:paraId="1DFBC88B"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39</w:t>
            </w:r>
          </w:p>
        </w:tc>
        <w:tc>
          <w:tcPr>
            <w:tcW w:w="2131" w:type="dxa"/>
            <w:tcBorders>
              <w:top w:val="nil"/>
              <w:left w:val="nil"/>
              <w:bottom w:val="nil"/>
              <w:right w:val="nil"/>
            </w:tcBorders>
            <w:shd w:val="clear" w:color="auto" w:fill="FFFFFF"/>
            <w:vAlign w:val="center"/>
          </w:tcPr>
          <w:p w14:paraId="5F493AD6"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w:t>
            </w:r>
          </w:p>
        </w:tc>
      </w:tr>
      <w:tr w:rsidR="00147AD9" w14:paraId="0010DE0A" w14:textId="77777777">
        <w:tc>
          <w:tcPr>
            <w:tcW w:w="2130" w:type="dxa"/>
            <w:tcBorders>
              <w:top w:val="nil"/>
              <w:left w:val="nil"/>
              <w:bottom w:val="nil"/>
              <w:right w:val="nil"/>
            </w:tcBorders>
            <w:shd w:val="clear" w:color="auto" w:fill="FFFFFF"/>
            <w:vAlign w:val="center"/>
          </w:tcPr>
          <w:p w14:paraId="4C5F0686" w14:textId="77777777" w:rsidR="00147AD9" w:rsidRDefault="00147AD9">
            <w:pPr>
              <w:jc w:val="center"/>
              <w:rPr>
                <w:rFonts w:ascii="Times New Roman" w:eastAsia="宋体" w:hAnsi="Times New Roman" w:cs="Times New Roman"/>
                <w:color w:val="000000"/>
                <w:sz w:val="22"/>
                <w:szCs w:val="22"/>
              </w:rPr>
            </w:pPr>
          </w:p>
        </w:tc>
        <w:tc>
          <w:tcPr>
            <w:tcW w:w="2130" w:type="dxa"/>
            <w:tcBorders>
              <w:top w:val="nil"/>
              <w:left w:val="nil"/>
              <w:bottom w:val="nil"/>
              <w:right w:val="nil"/>
            </w:tcBorders>
            <w:shd w:val="clear" w:color="auto" w:fill="FFFFFF"/>
            <w:vAlign w:val="center"/>
          </w:tcPr>
          <w:p w14:paraId="748A20D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26–30 years</w:t>
            </w:r>
          </w:p>
        </w:tc>
        <w:tc>
          <w:tcPr>
            <w:tcW w:w="2131" w:type="dxa"/>
            <w:tcBorders>
              <w:top w:val="nil"/>
              <w:left w:val="nil"/>
              <w:bottom w:val="nil"/>
              <w:right w:val="nil"/>
            </w:tcBorders>
            <w:shd w:val="clear" w:color="auto" w:fill="FFFFFF"/>
            <w:vAlign w:val="center"/>
          </w:tcPr>
          <w:p w14:paraId="721BA47C"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86</w:t>
            </w:r>
          </w:p>
        </w:tc>
        <w:tc>
          <w:tcPr>
            <w:tcW w:w="2131" w:type="dxa"/>
            <w:tcBorders>
              <w:top w:val="nil"/>
              <w:left w:val="nil"/>
              <w:bottom w:val="nil"/>
              <w:right w:val="nil"/>
            </w:tcBorders>
            <w:shd w:val="clear" w:color="auto" w:fill="FFFFFF"/>
            <w:vAlign w:val="center"/>
          </w:tcPr>
          <w:p w14:paraId="29821FF6"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24%</w:t>
            </w:r>
          </w:p>
        </w:tc>
      </w:tr>
      <w:tr w:rsidR="00147AD9" w14:paraId="79B5876C" w14:textId="77777777">
        <w:tc>
          <w:tcPr>
            <w:tcW w:w="2130" w:type="dxa"/>
            <w:tcBorders>
              <w:top w:val="nil"/>
              <w:left w:val="nil"/>
              <w:bottom w:val="nil"/>
              <w:right w:val="nil"/>
            </w:tcBorders>
            <w:shd w:val="clear" w:color="auto" w:fill="FFFFFF"/>
            <w:vAlign w:val="center"/>
          </w:tcPr>
          <w:p w14:paraId="2222C58E" w14:textId="77777777" w:rsidR="00147AD9" w:rsidRDefault="00147AD9">
            <w:pPr>
              <w:jc w:val="center"/>
              <w:rPr>
                <w:rFonts w:ascii="Times New Roman" w:eastAsia="宋体" w:hAnsi="Times New Roman" w:cs="Times New Roman"/>
                <w:color w:val="000000"/>
                <w:sz w:val="22"/>
                <w:szCs w:val="22"/>
              </w:rPr>
            </w:pPr>
          </w:p>
        </w:tc>
        <w:tc>
          <w:tcPr>
            <w:tcW w:w="2130" w:type="dxa"/>
            <w:tcBorders>
              <w:top w:val="nil"/>
              <w:left w:val="nil"/>
              <w:bottom w:val="nil"/>
              <w:right w:val="nil"/>
            </w:tcBorders>
            <w:shd w:val="clear" w:color="auto" w:fill="FFFFFF"/>
            <w:vAlign w:val="center"/>
          </w:tcPr>
          <w:p w14:paraId="2B019A9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31–40 years</w:t>
            </w:r>
          </w:p>
        </w:tc>
        <w:tc>
          <w:tcPr>
            <w:tcW w:w="2131" w:type="dxa"/>
            <w:tcBorders>
              <w:top w:val="nil"/>
              <w:left w:val="nil"/>
              <w:bottom w:val="nil"/>
              <w:right w:val="nil"/>
            </w:tcBorders>
            <w:shd w:val="clear" w:color="auto" w:fill="FFFFFF"/>
            <w:vAlign w:val="center"/>
          </w:tcPr>
          <w:p w14:paraId="7794C80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108</w:t>
            </w:r>
          </w:p>
        </w:tc>
        <w:tc>
          <w:tcPr>
            <w:tcW w:w="2131" w:type="dxa"/>
            <w:tcBorders>
              <w:top w:val="nil"/>
              <w:left w:val="nil"/>
              <w:bottom w:val="nil"/>
              <w:right w:val="nil"/>
            </w:tcBorders>
            <w:shd w:val="clear" w:color="auto" w:fill="FFFFFF"/>
            <w:vAlign w:val="center"/>
          </w:tcPr>
          <w:p w14:paraId="21CABCB1"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31%</w:t>
            </w:r>
          </w:p>
        </w:tc>
      </w:tr>
      <w:tr w:rsidR="00147AD9" w14:paraId="05B2B22E" w14:textId="77777777">
        <w:tc>
          <w:tcPr>
            <w:tcW w:w="2130" w:type="dxa"/>
            <w:tcBorders>
              <w:top w:val="nil"/>
              <w:left w:val="nil"/>
              <w:bottom w:val="nil"/>
              <w:right w:val="nil"/>
            </w:tcBorders>
            <w:shd w:val="clear" w:color="auto" w:fill="FFFFFF"/>
            <w:vAlign w:val="center"/>
          </w:tcPr>
          <w:p w14:paraId="4419321F" w14:textId="77777777" w:rsidR="00147AD9" w:rsidRDefault="00147AD9">
            <w:pPr>
              <w:jc w:val="center"/>
              <w:rPr>
                <w:rFonts w:ascii="Times New Roman" w:eastAsia="宋体" w:hAnsi="Times New Roman" w:cs="Times New Roman"/>
                <w:color w:val="000000"/>
                <w:sz w:val="22"/>
                <w:szCs w:val="22"/>
              </w:rPr>
            </w:pPr>
          </w:p>
        </w:tc>
        <w:tc>
          <w:tcPr>
            <w:tcW w:w="2130" w:type="dxa"/>
            <w:tcBorders>
              <w:top w:val="nil"/>
              <w:left w:val="nil"/>
              <w:bottom w:val="nil"/>
              <w:right w:val="nil"/>
            </w:tcBorders>
            <w:shd w:val="clear" w:color="auto" w:fill="FFFFFF"/>
            <w:vAlign w:val="center"/>
          </w:tcPr>
          <w:p w14:paraId="15A49AB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41–50 years</w:t>
            </w:r>
          </w:p>
        </w:tc>
        <w:tc>
          <w:tcPr>
            <w:tcW w:w="2131" w:type="dxa"/>
            <w:tcBorders>
              <w:top w:val="nil"/>
              <w:left w:val="nil"/>
              <w:bottom w:val="nil"/>
              <w:right w:val="nil"/>
            </w:tcBorders>
            <w:shd w:val="clear" w:color="auto" w:fill="FFFFFF"/>
            <w:vAlign w:val="center"/>
          </w:tcPr>
          <w:p w14:paraId="66D034F2"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61</w:t>
            </w:r>
          </w:p>
        </w:tc>
        <w:tc>
          <w:tcPr>
            <w:tcW w:w="2131" w:type="dxa"/>
            <w:tcBorders>
              <w:top w:val="nil"/>
              <w:left w:val="nil"/>
              <w:bottom w:val="nil"/>
              <w:right w:val="nil"/>
            </w:tcBorders>
            <w:shd w:val="clear" w:color="auto" w:fill="FFFFFF"/>
            <w:vAlign w:val="center"/>
          </w:tcPr>
          <w:p w14:paraId="5C8C194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17%</w:t>
            </w:r>
          </w:p>
        </w:tc>
      </w:tr>
      <w:tr w:rsidR="00147AD9" w14:paraId="23A4B498" w14:textId="77777777">
        <w:tc>
          <w:tcPr>
            <w:tcW w:w="2130" w:type="dxa"/>
            <w:tcBorders>
              <w:top w:val="nil"/>
              <w:left w:val="nil"/>
              <w:bottom w:val="nil"/>
              <w:right w:val="nil"/>
            </w:tcBorders>
            <w:shd w:val="clear" w:color="auto" w:fill="FFFFFF"/>
            <w:vAlign w:val="center"/>
          </w:tcPr>
          <w:p w14:paraId="336A4C14" w14:textId="77777777" w:rsidR="00147AD9" w:rsidRDefault="00147AD9">
            <w:pPr>
              <w:jc w:val="center"/>
              <w:rPr>
                <w:rFonts w:ascii="Times New Roman" w:eastAsia="宋体" w:hAnsi="Times New Roman" w:cs="Times New Roman"/>
                <w:color w:val="000000"/>
                <w:sz w:val="22"/>
                <w:szCs w:val="22"/>
              </w:rPr>
            </w:pPr>
          </w:p>
        </w:tc>
        <w:tc>
          <w:tcPr>
            <w:tcW w:w="2130" w:type="dxa"/>
            <w:tcBorders>
              <w:top w:val="nil"/>
              <w:left w:val="nil"/>
              <w:bottom w:val="nil"/>
              <w:right w:val="nil"/>
            </w:tcBorders>
            <w:shd w:val="clear" w:color="auto" w:fill="FFFFFF"/>
            <w:vAlign w:val="center"/>
          </w:tcPr>
          <w:p w14:paraId="0FF56C0B"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51–60 years</w:t>
            </w:r>
          </w:p>
        </w:tc>
        <w:tc>
          <w:tcPr>
            <w:tcW w:w="2131" w:type="dxa"/>
            <w:tcBorders>
              <w:top w:val="nil"/>
              <w:left w:val="nil"/>
              <w:bottom w:val="nil"/>
              <w:right w:val="nil"/>
            </w:tcBorders>
            <w:shd w:val="clear" w:color="auto" w:fill="FFFFFF"/>
            <w:vAlign w:val="center"/>
          </w:tcPr>
          <w:p w14:paraId="553E8E21"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44</w:t>
            </w:r>
          </w:p>
        </w:tc>
        <w:tc>
          <w:tcPr>
            <w:tcW w:w="2131" w:type="dxa"/>
            <w:tcBorders>
              <w:top w:val="nil"/>
              <w:left w:val="nil"/>
              <w:bottom w:val="nil"/>
              <w:right w:val="nil"/>
            </w:tcBorders>
            <w:shd w:val="clear" w:color="auto" w:fill="FFFFFF"/>
            <w:vAlign w:val="center"/>
          </w:tcPr>
          <w:p w14:paraId="5BDF614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13%</w:t>
            </w:r>
          </w:p>
        </w:tc>
      </w:tr>
      <w:tr w:rsidR="00147AD9" w14:paraId="0B6BD10F" w14:textId="77777777">
        <w:tc>
          <w:tcPr>
            <w:tcW w:w="2130" w:type="dxa"/>
            <w:tcBorders>
              <w:top w:val="nil"/>
              <w:left w:val="nil"/>
              <w:bottom w:val="nil"/>
              <w:right w:val="nil"/>
            </w:tcBorders>
            <w:shd w:val="clear" w:color="auto" w:fill="FFFFFF"/>
            <w:vAlign w:val="center"/>
          </w:tcPr>
          <w:p w14:paraId="00B0FB19" w14:textId="77777777" w:rsidR="00147AD9" w:rsidRDefault="00147AD9">
            <w:pPr>
              <w:jc w:val="center"/>
              <w:rPr>
                <w:rFonts w:ascii="Times New Roman" w:eastAsia="宋体" w:hAnsi="Times New Roman" w:cs="Times New Roman"/>
                <w:color w:val="000000"/>
                <w:sz w:val="22"/>
                <w:szCs w:val="22"/>
              </w:rPr>
            </w:pPr>
          </w:p>
        </w:tc>
        <w:tc>
          <w:tcPr>
            <w:tcW w:w="2130" w:type="dxa"/>
            <w:tcBorders>
              <w:top w:val="nil"/>
              <w:left w:val="nil"/>
              <w:bottom w:val="nil"/>
              <w:right w:val="nil"/>
            </w:tcBorders>
            <w:shd w:val="clear" w:color="auto" w:fill="FFFFFF"/>
            <w:vAlign w:val="center"/>
          </w:tcPr>
          <w:p w14:paraId="209D935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Above 60 years</w:t>
            </w:r>
          </w:p>
        </w:tc>
        <w:tc>
          <w:tcPr>
            <w:tcW w:w="2131" w:type="dxa"/>
            <w:tcBorders>
              <w:top w:val="nil"/>
              <w:left w:val="nil"/>
              <w:bottom w:val="nil"/>
              <w:right w:val="nil"/>
            </w:tcBorders>
            <w:shd w:val="clear" w:color="auto" w:fill="FFFFFF"/>
            <w:vAlign w:val="center"/>
          </w:tcPr>
          <w:p w14:paraId="58299531"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15</w:t>
            </w:r>
          </w:p>
        </w:tc>
        <w:tc>
          <w:tcPr>
            <w:tcW w:w="2131" w:type="dxa"/>
            <w:tcBorders>
              <w:top w:val="nil"/>
              <w:left w:val="nil"/>
              <w:bottom w:val="nil"/>
              <w:right w:val="nil"/>
            </w:tcBorders>
            <w:shd w:val="clear" w:color="auto" w:fill="FFFFFF"/>
            <w:vAlign w:val="center"/>
          </w:tcPr>
          <w:p w14:paraId="4E4D6D6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w:t>
            </w:r>
          </w:p>
        </w:tc>
      </w:tr>
      <w:tr w:rsidR="00147AD9" w14:paraId="4966D2EF" w14:textId="77777777">
        <w:tc>
          <w:tcPr>
            <w:tcW w:w="2130" w:type="dxa"/>
            <w:tcBorders>
              <w:top w:val="nil"/>
              <w:left w:val="nil"/>
              <w:bottom w:val="nil"/>
              <w:right w:val="nil"/>
            </w:tcBorders>
            <w:shd w:val="clear" w:color="auto" w:fill="FFFFFF"/>
            <w:vAlign w:val="center"/>
          </w:tcPr>
          <w:p w14:paraId="423FD37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Education Level</w:t>
            </w:r>
          </w:p>
        </w:tc>
        <w:tc>
          <w:tcPr>
            <w:tcW w:w="2130" w:type="dxa"/>
            <w:tcBorders>
              <w:top w:val="nil"/>
              <w:left w:val="nil"/>
              <w:bottom w:val="nil"/>
              <w:right w:val="nil"/>
            </w:tcBorders>
            <w:shd w:val="clear" w:color="auto" w:fill="FFFFFF"/>
            <w:vAlign w:val="center"/>
          </w:tcPr>
          <w:p w14:paraId="25A12E3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High school or below</w:t>
            </w:r>
          </w:p>
        </w:tc>
        <w:tc>
          <w:tcPr>
            <w:tcW w:w="2131" w:type="dxa"/>
            <w:tcBorders>
              <w:top w:val="nil"/>
              <w:left w:val="nil"/>
              <w:bottom w:val="nil"/>
              <w:right w:val="nil"/>
            </w:tcBorders>
            <w:shd w:val="clear" w:color="auto" w:fill="FFFFFF"/>
            <w:vAlign w:val="center"/>
          </w:tcPr>
          <w:p w14:paraId="3377AD1B"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15</w:t>
            </w:r>
          </w:p>
        </w:tc>
        <w:tc>
          <w:tcPr>
            <w:tcW w:w="2131" w:type="dxa"/>
            <w:tcBorders>
              <w:top w:val="nil"/>
              <w:left w:val="nil"/>
              <w:bottom w:val="nil"/>
              <w:right w:val="nil"/>
            </w:tcBorders>
            <w:shd w:val="clear" w:color="auto" w:fill="FFFFFF"/>
            <w:vAlign w:val="center"/>
          </w:tcPr>
          <w:p w14:paraId="1138C19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w:t>
            </w:r>
          </w:p>
        </w:tc>
      </w:tr>
      <w:tr w:rsidR="00147AD9" w14:paraId="09B18C3A" w14:textId="77777777">
        <w:tc>
          <w:tcPr>
            <w:tcW w:w="2130" w:type="dxa"/>
            <w:tcBorders>
              <w:top w:val="nil"/>
              <w:left w:val="nil"/>
              <w:bottom w:val="nil"/>
              <w:right w:val="nil"/>
            </w:tcBorders>
            <w:shd w:val="clear" w:color="auto" w:fill="FFFFFF"/>
            <w:vAlign w:val="center"/>
          </w:tcPr>
          <w:p w14:paraId="08B6ECF3" w14:textId="77777777" w:rsidR="00147AD9" w:rsidRDefault="00147AD9">
            <w:pPr>
              <w:jc w:val="center"/>
              <w:rPr>
                <w:rFonts w:ascii="Times New Roman" w:eastAsia="宋体" w:hAnsi="Times New Roman" w:cs="Times New Roman"/>
                <w:color w:val="000000"/>
                <w:sz w:val="22"/>
                <w:szCs w:val="22"/>
              </w:rPr>
            </w:pPr>
          </w:p>
        </w:tc>
        <w:tc>
          <w:tcPr>
            <w:tcW w:w="2130" w:type="dxa"/>
            <w:tcBorders>
              <w:top w:val="nil"/>
              <w:left w:val="nil"/>
              <w:bottom w:val="nil"/>
              <w:right w:val="nil"/>
            </w:tcBorders>
            <w:shd w:val="clear" w:color="auto" w:fill="FFFFFF"/>
            <w:vAlign w:val="center"/>
          </w:tcPr>
          <w:p w14:paraId="6CACDCBF"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Junior college</w:t>
            </w:r>
          </w:p>
        </w:tc>
        <w:tc>
          <w:tcPr>
            <w:tcW w:w="2131" w:type="dxa"/>
            <w:tcBorders>
              <w:top w:val="nil"/>
              <w:left w:val="nil"/>
              <w:bottom w:val="nil"/>
              <w:right w:val="nil"/>
            </w:tcBorders>
            <w:shd w:val="clear" w:color="auto" w:fill="FFFFFF"/>
            <w:vAlign w:val="center"/>
          </w:tcPr>
          <w:p w14:paraId="3E9D8D9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96</w:t>
            </w:r>
          </w:p>
        </w:tc>
        <w:tc>
          <w:tcPr>
            <w:tcW w:w="2131" w:type="dxa"/>
            <w:tcBorders>
              <w:top w:val="nil"/>
              <w:left w:val="nil"/>
              <w:bottom w:val="nil"/>
              <w:right w:val="nil"/>
            </w:tcBorders>
            <w:shd w:val="clear" w:color="auto" w:fill="FFFFFF"/>
            <w:vAlign w:val="center"/>
          </w:tcPr>
          <w:p w14:paraId="3D4E8E30"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27%</w:t>
            </w:r>
          </w:p>
        </w:tc>
      </w:tr>
      <w:tr w:rsidR="00147AD9" w14:paraId="7640F72C" w14:textId="77777777">
        <w:tc>
          <w:tcPr>
            <w:tcW w:w="2130" w:type="dxa"/>
            <w:tcBorders>
              <w:top w:val="nil"/>
              <w:left w:val="nil"/>
              <w:bottom w:val="nil"/>
              <w:right w:val="nil"/>
            </w:tcBorders>
            <w:shd w:val="clear" w:color="auto" w:fill="FFFFFF"/>
            <w:vAlign w:val="center"/>
          </w:tcPr>
          <w:p w14:paraId="7B5D36CD" w14:textId="77777777" w:rsidR="00147AD9" w:rsidRDefault="00147AD9">
            <w:pPr>
              <w:jc w:val="center"/>
              <w:rPr>
                <w:rFonts w:ascii="Times New Roman" w:eastAsia="宋体" w:hAnsi="Times New Roman" w:cs="Times New Roman"/>
                <w:color w:val="000000"/>
                <w:sz w:val="22"/>
                <w:szCs w:val="22"/>
              </w:rPr>
            </w:pPr>
          </w:p>
        </w:tc>
        <w:tc>
          <w:tcPr>
            <w:tcW w:w="2130" w:type="dxa"/>
            <w:tcBorders>
              <w:top w:val="nil"/>
              <w:left w:val="nil"/>
              <w:bottom w:val="nil"/>
              <w:right w:val="nil"/>
            </w:tcBorders>
            <w:shd w:val="clear" w:color="auto" w:fill="FFFFFF"/>
            <w:vAlign w:val="center"/>
          </w:tcPr>
          <w:p w14:paraId="420C5D5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Bachelor’s degree</w:t>
            </w:r>
          </w:p>
        </w:tc>
        <w:tc>
          <w:tcPr>
            <w:tcW w:w="2131" w:type="dxa"/>
            <w:tcBorders>
              <w:top w:val="nil"/>
              <w:left w:val="nil"/>
              <w:bottom w:val="nil"/>
              <w:right w:val="nil"/>
            </w:tcBorders>
            <w:shd w:val="clear" w:color="auto" w:fill="FFFFFF"/>
            <w:vAlign w:val="center"/>
          </w:tcPr>
          <w:p w14:paraId="6F65D102"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217</w:t>
            </w:r>
          </w:p>
        </w:tc>
        <w:tc>
          <w:tcPr>
            <w:tcW w:w="2131" w:type="dxa"/>
            <w:tcBorders>
              <w:top w:val="nil"/>
              <w:left w:val="nil"/>
              <w:bottom w:val="nil"/>
              <w:right w:val="nil"/>
            </w:tcBorders>
            <w:shd w:val="clear" w:color="auto" w:fill="FFFFFF"/>
            <w:vAlign w:val="center"/>
          </w:tcPr>
          <w:p w14:paraId="301023F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62%</w:t>
            </w:r>
          </w:p>
        </w:tc>
      </w:tr>
      <w:tr w:rsidR="00147AD9" w14:paraId="05CB0932" w14:textId="77777777">
        <w:tc>
          <w:tcPr>
            <w:tcW w:w="2130" w:type="dxa"/>
            <w:tcBorders>
              <w:top w:val="nil"/>
              <w:left w:val="nil"/>
              <w:bottom w:val="nil"/>
              <w:right w:val="nil"/>
            </w:tcBorders>
            <w:shd w:val="clear" w:color="auto" w:fill="FFFFFF"/>
            <w:vAlign w:val="center"/>
          </w:tcPr>
          <w:p w14:paraId="35574C85" w14:textId="77777777" w:rsidR="00147AD9" w:rsidRDefault="00147AD9">
            <w:pPr>
              <w:jc w:val="center"/>
              <w:rPr>
                <w:rFonts w:ascii="Times New Roman" w:eastAsia="宋体" w:hAnsi="Times New Roman" w:cs="Times New Roman"/>
                <w:color w:val="000000"/>
                <w:sz w:val="22"/>
                <w:szCs w:val="22"/>
              </w:rPr>
            </w:pPr>
          </w:p>
        </w:tc>
        <w:tc>
          <w:tcPr>
            <w:tcW w:w="2130" w:type="dxa"/>
            <w:tcBorders>
              <w:top w:val="nil"/>
              <w:left w:val="nil"/>
              <w:bottom w:val="nil"/>
              <w:right w:val="nil"/>
            </w:tcBorders>
            <w:shd w:val="clear" w:color="auto" w:fill="FFFFFF"/>
            <w:vAlign w:val="center"/>
          </w:tcPr>
          <w:p w14:paraId="711F55C4"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Master’s degree</w:t>
            </w:r>
          </w:p>
        </w:tc>
        <w:tc>
          <w:tcPr>
            <w:tcW w:w="2131" w:type="dxa"/>
            <w:tcBorders>
              <w:top w:val="nil"/>
              <w:left w:val="nil"/>
              <w:bottom w:val="nil"/>
              <w:right w:val="nil"/>
            </w:tcBorders>
            <w:shd w:val="clear" w:color="auto" w:fill="FFFFFF"/>
            <w:vAlign w:val="center"/>
          </w:tcPr>
          <w:p w14:paraId="5A2A3D0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16</w:t>
            </w:r>
          </w:p>
        </w:tc>
        <w:tc>
          <w:tcPr>
            <w:tcW w:w="2131" w:type="dxa"/>
            <w:tcBorders>
              <w:top w:val="nil"/>
              <w:left w:val="nil"/>
              <w:bottom w:val="nil"/>
              <w:right w:val="nil"/>
            </w:tcBorders>
            <w:shd w:val="clear" w:color="auto" w:fill="FFFFFF"/>
            <w:vAlign w:val="center"/>
          </w:tcPr>
          <w:p w14:paraId="21744D6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w:t>
            </w:r>
          </w:p>
        </w:tc>
      </w:tr>
      <w:tr w:rsidR="00147AD9" w14:paraId="69AFA8B4" w14:textId="77777777">
        <w:tc>
          <w:tcPr>
            <w:tcW w:w="2130" w:type="dxa"/>
            <w:tcBorders>
              <w:top w:val="nil"/>
              <w:left w:val="nil"/>
              <w:bottom w:val="nil"/>
              <w:right w:val="nil"/>
            </w:tcBorders>
            <w:shd w:val="clear" w:color="auto" w:fill="FFFFFF"/>
            <w:vAlign w:val="center"/>
          </w:tcPr>
          <w:p w14:paraId="592C7849" w14:textId="77777777" w:rsidR="00147AD9" w:rsidRDefault="00147AD9">
            <w:pPr>
              <w:jc w:val="center"/>
              <w:rPr>
                <w:rFonts w:ascii="Times New Roman" w:eastAsia="宋体" w:hAnsi="Times New Roman" w:cs="Times New Roman"/>
                <w:color w:val="000000"/>
                <w:sz w:val="22"/>
                <w:szCs w:val="22"/>
              </w:rPr>
            </w:pPr>
          </w:p>
        </w:tc>
        <w:tc>
          <w:tcPr>
            <w:tcW w:w="2130" w:type="dxa"/>
            <w:tcBorders>
              <w:top w:val="nil"/>
              <w:left w:val="nil"/>
              <w:bottom w:val="nil"/>
              <w:right w:val="nil"/>
            </w:tcBorders>
            <w:shd w:val="clear" w:color="auto" w:fill="FFFFFF"/>
            <w:vAlign w:val="center"/>
          </w:tcPr>
          <w:p w14:paraId="1A0F806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Doctoral degree</w:t>
            </w:r>
          </w:p>
        </w:tc>
        <w:tc>
          <w:tcPr>
            <w:tcW w:w="2131" w:type="dxa"/>
            <w:tcBorders>
              <w:top w:val="nil"/>
              <w:left w:val="nil"/>
              <w:bottom w:val="nil"/>
              <w:right w:val="nil"/>
            </w:tcBorders>
            <w:shd w:val="clear" w:color="auto" w:fill="FFFFFF"/>
            <w:vAlign w:val="center"/>
          </w:tcPr>
          <w:p w14:paraId="5FBDE13C"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w:t>
            </w:r>
          </w:p>
        </w:tc>
        <w:tc>
          <w:tcPr>
            <w:tcW w:w="2131" w:type="dxa"/>
            <w:tcBorders>
              <w:top w:val="nil"/>
              <w:left w:val="nil"/>
              <w:bottom w:val="nil"/>
              <w:right w:val="nil"/>
            </w:tcBorders>
            <w:shd w:val="clear" w:color="auto" w:fill="FFFFFF"/>
            <w:vAlign w:val="center"/>
          </w:tcPr>
          <w:p w14:paraId="12769144"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w:t>
            </w:r>
          </w:p>
        </w:tc>
      </w:tr>
      <w:tr w:rsidR="00147AD9" w14:paraId="4C35354A" w14:textId="77777777">
        <w:tc>
          <w:tcPr>
            <w:tcW w:w="2130" w:type="dxa"/>
            <w:tcBorders>
              <w:top w:val="nil"/>
              <w:left w:val="nil"/>
              <w:bottom w:val="nil"/>
              <w:right w:val="nil"/>
            </w:tcBorders>
            <w:shd w:val="clear" w:color="auto" w:fill="FFFFFF"/>
            <w:vAlign w:val="center"/>
          </w:tcPr>
          <w:p w14:paraId="12E7FAC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Industry</w:t>
            </w:r>
          </w:p>
        </w:tc>
        <w:tc>
          <w:tcPr>
            <w:tcW w:w="2130" w:type="dxa"/>
            <w:tcBorders>
              <w:top w:val="nil"/>
              <w:left w:val="nil"/>
              <w:bottom w:val="nil"/>
              <w:right w:val="nil"/>
            </w:tcBorders>
            <w:shd w:val="clear" w:color="auto" w:fill="FFFFFF"/>
            <w:vAlign w:val="center"/>
          </w:tcPr>
          <w:p w14:paraId="688C61A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Manufacturing</w:t>
            </w:r>
          </w:p>
        </w:tc>
        <w:tc>
          <w:tcPr>
            <w:tcW w:w="2131" w:type="dxa"/>
            <w:tcBorders>
              <w:top w:val="nil"/>
              <w:left w:val="nil"/>
              <w:bottom w:val="nil"/>
              <w:right w:val="nil"/>
            </w:tcBorders>
            <w:shd w:val="clear" w:color="auto" w:fill="FFFFFF"/>
            <w:vAlign w:val="center"/>
          </w:tcPr>
          <w:p w14:paraId="6C8B612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28</w:t>
            </w:r>
          </w:p>
        </w:tc>
        <w:tc>
          <w:tcPr>
            <w:tcW w:w="2131" w:type="dxa"/>
            <w:tcBorders>
              <w:top w:val="nil"/>
              <w:left w:val="nil"/>
              <w:bottom w:val="nil"/>
              <w:right w:val="nil"/>
            </w:tcBorders>
            <w:shd w:val="clear" w:color="auto" w:fill="FFFFFF"/>
            <w:vAlign w:val="center"/>
          </w:tcPr>
          <w:p w14:paraId="3A1B811E"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w:t>
            </w:r>
          </w:p>
        </w:tc>
      </w:tr>
      <w:tr w:rsidR="00147AD9" w14:paraId="4F25EF9D" w14:textId="77777777">
        <w:tc>
          <w:tcPr>
            <w:tcW w:w="2130" w:type="dxa"/>
            <w:tcBorders>
              <w:top w:val="nil"/>
              <w:left w:val="nil"/>
              <w:bottom w:val="nil"/>
              <w:right w:val="nil"/>
            </w:tcBorders>
            <w:shd w:val="clear" w:color="auto" w:fill="FFFFFF"/>
            <w:vAlign w:val="center"/>
          </w:tcPr>
          <w:p w14:paraId="304A261C" w14:textId="77777777" w:rsidR="00147AD9" w:rsidRDefault="00147AD9">
            <w:pPr>
              <w:jc w:val="center"/>
              <w:rPr>
                <w:rFonts w:ascii="Times New Roman" w:eastAsia="宋体" w:hAnsi="Times New Roman" w:cs="Times New Roman"/>
                <w:color w:val="000000"/>
                <w:sz w:val="22"/>
                <w:szCs w:val="22"/>
              </w:rPr>
            </w:pPr>
          </w:p>
        </w:tc>
        <w:tc>
          <w:tcPr>
            <w:tcW w:w="2130" w:type="dxa"/>
            <w:tcBorders>
              <w:top w:val="nil"/>
              <w:left w:val="nil"/>
              <w:bottom w:val="nil"/>
              <w:right w:val="nil"/>
            </w:tcBorders>
            <w:shd w:val="clear" w:color="auto" w:fill="FFFFFF"/>
            <w:vAlign w:val="center"/>
          </w:tcPr>
          <w:p w14:paraId="27A4CBE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Services</w:t>
            </w:r>
          </w:p>
        </w:tc>
        <w:tc>
          <w:tcPr>
            <w:tcW w:w="2131" w:type="dxa"/>
            <w:tcBorders>
              <w:top w:val="nil"/>
              <w:left w:val="nil"/>
              <w:bottom w:val="nil"/>
              <w:right w:val="nil"/>
            </w:tcBorders>
            <w:shd w:val="clear" w:color="auto" w:fill="FFFFFF"/>
            <w:vAlign w:val="center"/>
          </w:tcPr>
          <w:p w14:paraId="78300F12"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37</w:t>
            </w:r>
          </w:p>
        </w:tc>
        <w:tc>
          <w:tcPr>
            <w:tcW w:w="2131" w:type="dxa"/>
            <w:tcBorders>
              <w:top w:val="nil"/>
              <w:left w:val="nil"/>
              <w:bottom w:val="nil"/>
              <w:right w:val="nil"/>
            </w:tcBorders>
            <w:shd w:val="clear" w:color="auto" w:fill="FFFFFF"/>
            <w:vAlign w:val="center"/>
          </w:tcPr>
          <w:p w14:paraId="66BF2CC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w:t>
            </w:r>
          </w:p>
        </w:tc>
      </w:tr>
      <w:tr w:rsidR="00147AD9" w14:paraId="6F29531D" w14:textId="77777777">
        <w:tc>
          <w:tcPr>
            <w:tcW w:w="2130" w:type="dxa"/>
            <w:tcBorders>
              <w:top w:val="nil"/>
              <w:left w:val="nil"/>
              <w:bottom w:val="nil"/>
              <w:right w:val="nil"/>
            </w:tcBorders>
            <w:shd w:val="clear" w:color="auto" w:fill="FFFFFF"/>
            <w:vAlign w:val="center"/>
          </w:tcPr>
          <w:p w14:paraId="7D6636A5" w14:textId="77777777" w:rsidR="00147AD9" w:rsidRDefault="00147AD9">
            <w:pPr>
              <w:jc w:val="center"/>
              <w:rPr>
                <w:rFonts w:ascii="Times New Roman" w:eastAsia="宋体" w:hAnsi="Times New Roman" w:cs="Times New Roman"/>
                <w:color w:val="000000"/>
                <w:sz w:val="22"/>
                <w:szCs w:val="22"/>
              </w:rPr>
            </w:pPr>
          </w:p>
        </w:tc>
        <w:tc>
          <w:tcPr>
            <w:tcW w:w="2130" w:type="dxa"/>
            <w:tcBorders>
              <w:top w:val="nil"/>
              <w:left w:val="nil"/>
              <w:bottom w:val="nil"/>
              <w:right w:val="nil"/>
            </w:tcBorders>
            <w:shd w:val="clear" w:color="auto" w:fill="FFFFFF"/>
            <w:vAlign w:val="center"/>
          </w:tcPr>
          <w:p w14:paraId="554B454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IT/Internet</w:t>
            </w:r>
          </w:p>
        </w:tc>
        <w:tc>
          <w:tcPr>
            <w:tcW w:w="2131" w:type="dxa"/>
            <w:tcBorders>
              <w:top w:val="nil"/>
              <w:left w:val="nil"/>
              <w:bottom w:val="nil"/>
              <w:right w:val="nil"/>
            </w:tcBorders>
            <w:shd w:val="clear" w:color="auto" w:fill="FFFFFF"/>
            <w:vAlign w:val="center"/>
          </w:tcPr>
          <w:p w14:paraId="43ACF5C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69</w:t>
            </w:r>
          </w:p>
        </w:tc>
        <w:tc>
          <w:tcPr>
            <w:tcW w:w="2131" w:type="dxa"/>
            <w:tcBorders>
              <w:top w:val="nil"/>
              <w:left w:val="nil"/>
              <w:bottom w:val="nil"/>
              <w:right w:val="nil"/>
            </w:tcBorders>
            <w:shd w:val="clear" w:color="auto" w:fill="FFFFFF"/>
            <w:vAlign w:val="center"/>
          </w:tcPr>
          <w:p w14:paraId="5D5DB659"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20%</w:t>
            </w:r>
          </w:p>
        </w:tc>
      </w:tr>
      <w:tr w:rsidR="00147AD9" w14:paraId="1446E391" w14:textId="77777777">
        <w:tc>
          <w:tcPr>
            <w:tcW w:w="2130" w:type="dxa"/>
            <w:tcBorders>
              <w:top w:val="nil"/>
              <w:left w:val="nil"/>
              <w:bottom w:val="nil"/>
              <w:right w:val="nil"/>
            </w:tcBorders>
            <w:shd w:val="clear" w:color="auto" w:fill="FFFFFF"/>
            <w:vAlign w:val="center"/>
          </w:tcPr>
          <w:p w14:paraId="1F66771F" w14:textId="77777777" w:rsidR="00147AD9" w:rsidRDefault="00147AD9">
            <w:pPr>
              <w:jc w:val="center"/>
              <w:rPr>
                <w:rFonts w:ascii="Times New Roman" w:eastAsia="宋体" w:hAnsi="Times New Roman" w:cs="Times New Roman"/>
                <w:color w:val="000000"/>
                <w:sz w:val="22"/>
                <w:szCs w:val="22"/>
              </w:rPr>
            </w:pPr>
          </w:p>
        </w:tc>
        <w:tc>
          <w:tcPr>
            <w:tcW w:w="2130" w:type="dxa"/>
            <w:tcBorders>
              <w:top w:val="nil"/>
              <w:left w:val="nil"/>
              <w:bottom w:val="nil"/>
              <w:right w:val="nil"/>
            </w:tcBorders>
            <w:shd w:val="clear" w:color="auto" w:fill="FFFFFF"/>
            <w:vAlign w:val="center"/>
          </w:tcPr>
          <w:p w14:paraId="38F4B635"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Finance</w:t>
            </w:r>
          </w:p>
        </w:tc>
        <w:tc>
          <w:tcPr>
            <w:tcW w:w="2131" w:type="dxa"/>
            <w:tcBorders>
              <w:top w:val="nil"/>
              <w:left w:val="nil"/>
              <w:bottom w:val="nil"/>
              <w:right w:val="nil"/>
            </w:tcBorders>
            <w:shd w:val="clear" w:color="auto" w:fill="FFFFFF"/>
            <w:vAlign w:val="center"/>
          </w:tcPr>
          <w:p w14:paraId="1EFECFD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55</w:t>
            </w:r>
          </w:p>
        </w:tc>
        <w:tc>
          <w:tcPr>
            <w:tcW w:w="2131" w:type="dxa"/>
            <w:tcBorders>
              <w:top w:val="nil"/>
              <w:left w:val="nil"/>
              <w:bottom w:val="nil"/>
              <w:right w:val="nil"/>
            </w:tcBorders>
            <w:shd w:val="clear" w:color="auto" w:fill="FFFFFF"/>
            <w:vAlign w:val="center"/>
          </w:tcPr>
          <w:p w14:paraId="30785AF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16%</w:t>
            </w:r>
          </w:p>
        </w:tc>
      </w:tr>
      <w:tr w:rsidR="00147AD9" w14:paraId="7FB1E537" w14:textId="77777777">
        <w:tc>
          <w:tcPr>
            <w:tcW w:w="2130" w:type="dxa"/>
            <w:tcBorders>
              <w:top w:val="nil"/>
              <w:left w:val="nil"/>
              <w:bottom w:val="nil"/>
              <w:right w:val="nil"/>
            </w:tcBorders>
            <w:shd w:val="clear" w:color="auto" w:fill="FFFFFF"/>
            <w:vAlign w:val="center"/>
          </w:tcPr>
          <w:p w14:paraId="7E94F4BC" w14:textId="77777777" w:rsidR="00147AD9" w:rsidRDefault="00147AD9">
            <w:pPr>
              <w:jc w:val="center"/>
              <w:rPr>
                <w:rFonts w:ascii="Times New Roman" w:eastAsia="宋体" w:hAnsi="Times New Roman" w:cs="Times New Roman"/>
                <w:color w:val="000000"/>
                <w:sz w:val="22"/>
                <w:szCs w:val="22"/>
              </w:rPr>
            </w:pPr>
          </w:p>
        </w:tc>
        <w:tc>
          <w:tcPr>
            <w:tcW w:w="2130" w:type="dxa"/>
            <w:tcBorders>
              <w:top w:val="nil"/>
              <w:left w:val="nil"/>
              <w:bottom w:val="nil"/>
              <w:right w:val="nil"/>
            </w:tcBorders>
            <w:shd w:val="clear" w:color="auto" w:fill="FFFFFF"/>
            <w:vAlign w:val="center"/>
          </w:tcPr>
          <w:p w14:paraId="337DBFF1"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Education/Research</w:t>
            </w:r>
          </w:p>
        </w:tc>
        <w:tc>
          <w:tcPr>
            <w:tcW w:w="2131" w:type="dxa"/>
            <w:tcBorders>
              <w:top w:val="nil"/>
              <w:left w:val="nil"/>
              <w:bottom w:val="nil"/>
              <w:right w:val="nil"/>
            </w:tcBorders>
            <w:shd w:val="clear" w:color="auto" w:fill="FFFFFF"/>
            <w:vAlign w:val="center"/>
          </w:tcPr>
          <w:p w14:paraId="7A394CE6"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53</w:t>
            </w:r>
          </w:p>
        </w:tc>
        <w:tc>
          <w:tcPr>
            <w:tcW w:w="2131" w:type="dxa"/>
            <w:tcBorders>
              <w:top w:val="nil"/>
              <w:left w:val="nil"/>
              <w:bottom w:val="nil"/>
              <w:right w:val="nil"/>
            </w:tcBorders>
            <w:shd w:val="clear" w:color="auto" w:fill="FFFFFF"/>
            <w:vAlign w:val="center"/>
          </w:tcPr>
          <w:p w14:paraId="0348174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15%</w:t>
            </w:r>
          </w:p>
        </w:tc>
      </w:tr>
      <w:tr w:rsidR="00147AD9" w14:paraId="0B20E1B8" w14:textId="77777777">
        <w:tc>
          <w:tcPr>
            <w:tcW w:w="2130" w:type="dxa"/>
            <w:tcBorders>
              <w:top w:val="nil"/>
              <w:left w:val="nil"/>
              <w:bottom w:val="nil"/>
              <w:right w:val="nil"/>
            </w:tcBorders>
            <w:shd w:val="clear" w:color="auto" w:fill="FFFFFF"/>
            <w:vAlign w:val="center"/>
          </w:tcPr>
          <w:p w14:paraId="66B37ACC" w14:textId="77777777" w:rsidR="00147AD9" w:rsidRDefault="00147AD9">
            <w:pPr>
              <w:jc w:val="center"/>
              <w:rPr>
                <w:rFonts w:ascii="Times New Roman" w:eastAsia="宋体" w:hAnsi="Times New Roman" w:cs="Times New Roman"/>
                <w:color w:val="000000"/>
                <w:sz w:val="22"/>
                <w:szCs w:val="22"/>
              </w:rPr>
            </w:pPr>
          </w:p>
        </w:tc>
        <w:tc>
          <w:tcPr>
            <w:tcW w:w="2130" w:type="dxa"/>
            <w:tcBorders>
              <w:top w:val="nil"/>
              <w:left w:val="nil"/>
              <w:bottom w:val="nil"/>
              <w:right w:val="nil"/>
            </w:tcBorders>
            <w:shd w:val="clear" w:color="auto" w:fill="FFFFFF"/>
            <w:vAlign w:val="center"/>
          </w:tcPr>
          <w:p w14:paraId="0E7AD2C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Healthcare</w:t>
            </w:r>
          </w:p>
        </w:tc>
        <w:tc>
          <w:tcPr>
            <w:tcW w:w="2131" w:type="dxa"/>
            <w:tcBorders>
              <w:top w:val="nil"/>
              <w:left w:val="nil"/>
              <w:bottom w:val="nil"/>
              <w:right w:val="nil"/>
            </w:tcBorders>
            <w:shd w:val="clear" w:color="auto" w:fill="FFFFFF"/>
            <w:vAlign w:val="center"/>
          </w:tcPr>
          <w:p w14:paraId="18F50100"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29</w:t>
            </w:r>
          </w:p>
        </w:tc>
        <w:tc>
          <w:tcPr>
            <w:tcW w:w="2131" w:type="dxa"/>
            <w:tcBorders>
              <w:top w:val="nil"/>
              <w:left w:val="nil"/>
              <w:bottom w:val="nil"/>
              <w:right w:val="nil"/>
            </w:tcBorders>
            <w:shd w:val="clear" w:color="auto" w:fill="FFFFFF"/>
            <w:vAlign w:val="center"/>
          </w:tcPr>
          <w:p w14:paraId="0A341546"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w:t>
            </w:r>
          </w:p>
        </w:tc>
      </w:tr>
      <w:tr w:rsidR="00147AD9" w14:paraId="04DDCE0C" w14:textId="77777777">
        <w:tc>
          <w:tcPr>
            <w:tcW w:w="2130" w:type="dxa"/>
            <w:tcBorders>
              <w:top w:val="nil"/>
              <w:left w:val="nil"/>
              <w:bottom w:val="nil"/>
              <w:right w:val="nil"/>
            </w:tcBorders>
            <w:shd w:val="clear" w:color="auto" w:fill="FFFFFF"/>
            <w:vAlign w:val="center"/>
          </w:tcPr>
          <w:p w14:paraId="078007AB" w14:textId="77777777" w:rsidR="00147AD9" w:rsidRDefault="00147AD9">
            <w:pPr>
              <w:jc w:val="center"/>
              <w:rPr>
                <w:rFonts w:ascii="Times New Roman" w:eastAsia="宋体" w:hAnsi="Times New Roman" w:cs="Times New Roman"/>
                <w:color w:val="000000"/>
                <w:sz w:val="22"/>
                <w:szCs w:val="22"/>
              </w:rPr>
            </w:pPr>
          </w:p>
        </w:tc>
        <w:tc>
          <w:tcPr>
            <w:tcW w:w="2130" w:type="dxa"/>
            <w:tcBorders>
              <w:top w:val="nil"/>
              <w:left w:val="nil"/>
              <w:bottom w:val="nil"/>
              <w:right w:val="nil"/>
            </w:tcBorders>
            <w:shd w:val="clear" w:color="auto" w:fill="FFFFFF"/>
            <w:vAlign w:val="center"/>
          </w:tcPr>
          <w:p w14:paraId="55B2EAF6"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Logistics/Transportation</w:t>
            </w:r>
          </w:p>
        </w:tc>
        <w:tc>
          <w:tcPr>
            <w:tcW w:w="2131" w:type="dxa"/>
            <w:tcBorders>
              <w:top w:val="nil"/>
              <w:left w:val="nil"/>
              <w:bottom w:val="nil"/>
              <w:right w:val="nil"/>
            </w:tcBorders>
            <w:shd w:val="clear" w:color="auto" w:fill="FFFFFF"/>
            <w:vAlign w:val="center"/>
          </w:tcPr>
          <w:p w14:paraId="4BECAFE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15</w:t>
            </w:r>
          </w:p>
        </w:tc>
        <w:tc>
          <w:tcPr>
            <w:tcW w:w="2131" w:type="dxa"/>
            <w:tcBorders>
              <w:top w:val="nil"/>
              <w:left w:val="nil"/>
              <w:bottom w:val="nil"/>
              <w:right w:val="nil"/>
            </w:tcBorders>
            <w:shd w:val="clear" w:color="auto" w:fill="FFFFFF"/>
            <w:vAlign w:val="center"/>
          </w:tcPr>
          <w:p w14:paraId="522587F6"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w:t>
            </w:r>
          </w:p>
        </w:tc>
      </w:tr>
      <w:tr w:rsidR="00147AD9" w14:paraId="5D6AF74A" w14:textId="77777777">
        <w:tc>
          <w:tcPr>
            <w:tcW w:w="2130" w:type="dxa"/>
            <w:tcBorders>
              <w:top w:val="nil"/>
              <w:left w:val="nil"/>
              <w:bottom w:val="nil"/>
              <w:right w:val="nil"/>
            </w:tcBorders>
            <w:shd w:val="clear" w:color="auto" w:fill="FFFFFF"/>
            <w:vAlign w:val="center"/>
          </w:tcPr>
          <w:p w14:paraId="4C36687E" w14:textId="77777777" w:rsidR="00147AD9" w:rsidRDefault="00147AD9">
            <w:pPr>
              <w:jc w:val="center"/>
              <w:rPr>
                <w:rFonts w:ascii="Times New Roman" w:eastAsia="宋体" w:hAnsi="Times New Roman" w:cs="Times New Roman"/>
                <w:color w:val="000000"/>
                <w:sz w:val="22"/>
                <w:szCs w:val="22"/>
              </w:rPr>
            </w:pPr>
          </w:p>
        </w:tc>
        <w:tc>
          <w:tcPr>
            <w:tcW w:w="2130" w:type="dxa"/>
            <w:tcBorders>
              <w:top w:val="nil"/>
              <w:left w:val="nil"/>
              <w:bottom w:val="nil"/>
              <w:right w:val="nil"/>
            </w:tcBorders>
            <w:shd w:val="clear" w:color="auto" w:fill="FFFFFF"/>
            <w:vAlign w:val="center"/>
          </w:tcPr>
          <w:p w14:paraId="5E538436"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Construction/Real Estate</w:t>
            </w:r>
          </w:p>
        </w:tc>
        <w:tc>
          <w:tcPr>
            <w:tcW w:w="2131" w:type="dxa"/>
            <w:tcBorders>
              <w:top w:val="nil"/>
              <w:left w:val="nil"/>
              <w:bottom w:val="nil"/>
              <w:right w:val="nil"/>
            </w:tcBorders>
            <w:shd w:val="clear" w:color="auto" w:fill="FFFFFF"/>
            <w:vAlign w:val="center"/>
          </w:tcPr>
          <w:p w14:paraId="4503EEAC"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42</w:t>
            </w:r>
          </w:p>
        </w:tc>
        <w:tc>
          <w:tcPr>
            <w:tcW w:w="2131" w:type="dxa"/>
            <w:tcBorders>
              <w:top w:val="nil"/>
              <w:left w:val="nil"/>
              <w:bottom w:val="nil"/>
              <w:right w:val="nil"/>
            </w:tcBorders>
            <w:shd w:val="clear" w:color="auto" w:fill="FFFFFF"/>
            <w:vAlign w:val="center"/>
          </w:tcPr>
          <w:p w14:paraId="42E81B45"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12%</w:t>
            </w:r>
          </w:p>
        </w:tc>
      </w:tr>
      <w:tr w:rsidR="00147AD9" w14:paraId="1BA60454" w14:textId="77777777">
        <w:tc>
          <w:tcPr>
            <w:tcW w:w="2130" w:type="dxa"/>
            <w:tcBorders>
              <w:top w:val="nil"/>
              <w:left w:val="nil"/>
              <w:bottom w:val="nil"/>
              <w:right w:val="nil"/>
            </w:tcBorders>
            <w:shd w:val="clear" w:color="auto" w:fill="FFFFFF"/>
            <w:vAlign w:val="center"/>
          </w:tcPr>
          <w:p w14:paraId="6B9DA7D3" w14:textId="77777777" w:rsidR="00147AD9" w:rsidRDefault="00147AD9">
            <w:pPr>
              <w:jc w:val="center"/>
              <w:rPr>
                <w:rFonts w:ascii="Times New Roman" w:eastAsia="宋体" w:hAnsi="Times New Roman" w:cs="Times New Roman"/>
                <w:color w:val="000000"/>
                <w:sz w:val="22"/>
                <w:szCs w:val="22"/>
              </w:rPr>
            </w:pPr>
          </w:p>
        </w:tc>
        <w:tc>
          <w:tcPr>
            <w:tcW w:w="2130" w:type="dxa"/>
            <w:tcBorders>
              <w:top w:val="nil"/>
              <w:left w:val="nil"/>
              <w:bottom w:val="nil"/>
              <w:right w:val="nil"/>
            </w:tcBorders>
            <w:shd w:val="clear" w:color="auto" w:fill="FFFFFF"/>
            <w:vAlign w:val="center"/>
          </w:tcPr>
          <w:p w14:paraId="1A3C309B"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Energy/Environmental</w:t>
            </w:r>
          </w:p>
        </w:tc>
        <w:tc>
          <w:tcPr>
            <w:tcW w:w="2131" w:type="dxa"/>
            <w:tcBorders>
              <w:top w:val="nil"/>
              <w:left w:val="nil"/>
              <w:bottom w:val="nil"/>
              <w:right w:val="nil"/>
            </w:tcBorders>
            <w:shd w:val="clear" w:color="auto" w:fill="FFFFFF"/>
            <w:vAlign w:val="center"/>
          </w:tcPr>
          <w:p w14:paraId="122173F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21</w:t>
            </w:r>
          </w:p>
        </w:tc>
        <w:tc>
          <w:tcPr>
            <w:tcW w:w="2131" w:type="dxa"/>
            <w:tcBorders>
              <w:top w:val="nil"/>
              <w:left w:val="nil"/>
              <w:bottom w:val="nil"/>
              <w:right w:val="nil"/>
            </w:tcBorders>
            <w:shd w:val="clear" w:color="auto" w:fill="FFFFFF"/>
            <w:vAlign w:val="center"/>
          </w:tcPr>
          <w:p w14:paraId="286A936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w:t>
            </w:r>
          </w:p>
        </w:tc>
      </w:tr>
      <w:tr w:rsidR="00147AD9" w14:paraId="024396E1" w14:textId="77777777">
        <w:tc>
          <w:tcPr>
            <w:tcW w:w="2130" w:type="dxa"/>
            <w:tcBorders>
              <w:top w:val="nil"/>
              <w:left w:val="nil"/>
              <w:bottom w:val="nil"/>
              <w:right w:val="nil"/>
            </w:tcBorders>
            <w:shd w:val="clear" w:color="auto" w:fill="FFFFFF"/>
            <w:vAlign w:val="center"/>
          </w:tcPr>
          <w:p w14:paraId="4B00D48B" w14:textId="77777777" w:rsidR="00147AD9" w:rsidRDefault="00147AD9">
            <w:pPr>
              <w:jc w:val="center"/>
              <w:rPr>
                <w:rFonts w:ascii="Times New Roman" w:eastAsia="宋体" w:hAnsi="Times New Roman" w:cs="Times New Roman"/>
                <w:color w:val="000000"/>
                <w:sz w:val="22"/>
                <w:szCs w:val="22"/>
              </w:rPr>
            </w:pPr>
          </w:p>
        </w:tc>
        <w:tc>
          <w:tcPr>
            <w:tcW w:w="2130" w:type="dxa"/>
            <w:tcBorders>
              <w:top w:val="nil"/>
              <w:left w:val="nil"/>
              <w:bottom w:val="nil"/>
              <w:right w:val="nil"/>
            </w:tcBorders>
            <w:shd w:val="clear" w:color="auto" w:fill="FFFFFF"/>
            <w:vAlign w:val="center"/>
          </w:tcPr>
          <w:p w14:paraId="79E6C404"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Others</w:t>
            </w:r>
          </w:p>
        </w:tc>
        <w:tc>
          <w:tcPr>
            <w:tcW w:w="2131" w:type="dxa"/>
            <w:tcBorders>
              <w:top w:val="nil"/>
              <w:left w:val="nil"/>
              <w:bottom w:val="nil"/>
              <w:right w:val="nil"/>
            </w:tcBorders>
            <w:shd w:val="clear" w:color="auto" w:fill="FFFFFF"/>
            <w:vAlign w:val="center"/>
          </w:tcPr>
          <w:p w14:paraId="24FAC065"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w:t>
            </w:r>
          </w:p>
        </w:tc>
        <w:tc>
          <w:tcPr>
            <w:tcW w:w="2131" w:type="dxa"/>
            <w:tcBorders>
              <w:top w:val="nil"/>
              <w:left w:val="nil"/>
              <w:bottom w:val="nil"/>
              <w:right w:val="nil"/>
            </w:tcBorders>
            <w:shd w:val="clear" w:color="auto" w:fill="FFFFFF"/>
            <w:vAlign w:val="center"/>
          </w:tcPr>
          <w:p w14:paraId="42B3AEBE"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w:t>
            </w:r>
          </w:p>
        </w:tc>
      </w:tr>
      <w:tr w:rsidR="00147AD9" w14:paraId="41071B4D" w14:textId="77777777">
        <w:tc>
          <w:tcPr>
            <w:tcW w:w="2130" w:type="dxa"/>
            <w:tcBorders>
              <w:top w:val="nil"/>
              <w:left w:val="nil"/>
              <w:bottom w:val="nil"/>
              <w:right w:val="nil"/>
            </w:tcBorders>
            <w:shd w:val="clear" w:color="auto" w:fill="FFFFFF"/>
            <w:vAlign w:val="center"/>
          </w:tcPr>
          <w:p w14:paraId="75FFDFC5"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Position Level</w:t>
            </w:r>
          </w:p>
        </w:tc>
        <w:tc>
          <w:tcPr>
            <w:tcW w:w="2130" w:type="dxa"/>
            <w:tcBorders>
              <w:top w:val="nil"/>
              <w:left w:val="nil"/>
              <w:bottom w:val="nil"/>
              <w:right w:val="nil"/>
            </w:tcBorders>
            <w:shd w:val="clear" w:color="auto" w:fill="FFFFFF"/>
            <w:vAlign w:val="center"/>
          </w:tcPr>
          <w:p w14:paraId="743884F2"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Frontline employees</w:t>
            </w:r>
          </w:p>
        </w:tc>
        <w:tc>
          <w:tcPr>
            <w:tcW w:w="2131" w:type="dxa"/>
            <w:tcBorders>
              <w:top w:val="nil"/>
              <w:left w:val="nil"/>
              <w:bottom w:val="nil"/>
              <w:right w:val="nil"/>
            </w:tcBorders>
            <w:shd w:val="clear" w:color="auto" w:fill="FFFFFF"/>
            <w:vAlign w:val="center"/>
          </w:tcPr>
          <w:p w14:paraId="37513CE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319</w:t>
            </w:r>
          </w:p>
        </w:tc>
        <w:tc>
          <w:tcPr>
            <w:tcW w:w="2131" w:type="dxa"/>
            <w:tcBorders>
              <w:top w:val="nil"/>
              <w:left w:val="nil"/>
              <w:bottom w:val="nil"/>
              <w:right w:val="nil"/>
            </w:tcBorders>
            <w:shd w:val="clear" w:color="auto" w:fill="FFFFFF"/>
            <w:vAlign w:val="center"/>
          </w:tcPr>
          <w:p w14:paraId="429AA05E"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90%</w:t>
            </w:r>
          </w:p>
        </w:tc>
      </w:tr>
      <w:tr w:rsidR="00147AD9" w14:paraId="0FEB051A" w14:textId="77777777">
        <w:tc>
          <w:tcPr>
            <w:tcW w:w="2130" w:type="dxa"/>
            <w:tcBorders>
              <w:top w:val="nil"/>
              <w:left w:val="nil"/>
              <w:bottom w:val="nil"/>
              <w:right w:val="nil"/>
            </w:tcBorders>
            <w:shd w:val="clear" w:color="auto" w:fill="FFFFFF"/>
            <w:vAlign w:val="center"/>
          </w:tcPr>
          <w:p w14:paraId="48AF3B0E" w14:textId="77777777" w:rsidR="00147AD9" w:rsidRDefault="00147AD9">
            <w:pPr>
              <w:jc w:val="center"/>
              <w:rPr>
                <w:rFonts w:ascii="Times New Roman" w:eastAsia="宋体" w:hAnsi="Times New Roman" w:cs="Times New Roman"/>
                <w:color w:val="000000"/>
                <w:sz w:val="22"/>
                <w:szCs w:val="22"/>
              </w:rPr>
            </w:pPr>
          </w:p>
        </w:tc>
        <w:tc>
          <w:tcPr>
            <w:tcW w:w="2130" w:type="dxa"/>
            <w:tcBorders>
              <w:top w:val="nil"/>
              <w:left w:val="nil"/>
              <w:bottom w:val="nil"/>
              <w:right w:val="nil"/>
            </w:tcBorders>
            <w:shd w:val="clear" w:color="auto" w:fill="FFFFFF"/>
            <w:vAlign w:val="center"/>
          </w:tcPr>
          <w:p w14:paraId="0579590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Middle management</w:t>
            </w:r>
          </w:p>
        </w:tc>
        <w:tc>
          <w:tcPr>
            <w:tcW w:w="2131" w:type="dxa"/>
            <w:tcBorders>
              <w:top w:val="nil"/>
              <w:left w:val="nil"/>
              <w:bottom w:val="nil"/>
              <w:right w:val="nil"/>
            </w:tcBorders>
            <w:shd w:val="clear" w:color="auto" w:fill="FFFFFF"/>
            <w:vAlign w:val="center"/>
          </w:tcPr>
          <w:p w14:paraId="1B588229"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27</w:t>
            </w:r>
          </w:p>
        </w:tc>
        <w:tc>
          <w:tcPr>
            <w:tcW w:w="2131" w:type="dxa"/>
            <w:tcBorders>
              <w:top w:val="nil"/>
              <w:left w:val="nil"/>
              <w:bottom w:val="nil"/>
              <w:right w:val="nil"/>
            </w:tcBorders>
            <w:shd w:val="clear" w:color="auto" w:fill="FFFFFF"/>
            <w:vAlign w:val="center"/>
          </w:tcPr>
          <w:p w14:paraId="2D862FF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w:t>
            </w:r>
          </w:p>
        </w:tc>
      </w:tr>
      <w:tr w:rsidR="00147AD9" w14:paraId="35378089" w14:textId="77777777">
        <w:tc>
          <w:tcPr>
            <w:tcW w:w="2130" w:type="dxa"/>
            <w:tcBorders>
              <w:top w:val="nil"/>
              <w:left w:val="nil"/>
              <w:bottom w:val="nil"/>
              <w:right w:val="nil"/>
            </w:tcBorders>
            <w:shd w:val="clear" w:color="auto" w:fill="FFFFFF"/>
            <w:vAlign w:val="center"/>
          </w:tcPr>
          <w:p w14:paraId="462F7F47" w14:textId="77777777" w:rsidR="00147AD9" w:rsidRDefault="00147AD9">
            <w:pPr>
              <w:jc w:val="center"/>
              <w:rPr>
                <w:rFonts w:ascii="Times New Roman" w:eastAsia="宋体" w:hAnsi="Times New Roman" w:cs="Times New Roman"/>
                <w:color w:val="000000"/>
                <w:sz w:val="22"/>
                <w:szCs w:val="22"/>
              </w:rPr>
            </w:pPr>
          </w:p>
        </w:tc>
        <w:tc>
          <w:tcPr>
            <w:tcW w:w="2130" w:type="dxa"/>
            <w:tcBorders>
              <w:top w:val="nil"/>
              <w:left w:val="nil"/>
              <w:bottom w:val="nil"/>
              <w:right w:val="nil"/>
            </w:tcBorders>
            <w:shd w:val="clear" w:color="auto" w:fill="FFFFFF"/>
            <w:vAlign w:val="center"/>
          </w:tcPr>
          <w:p w14:paraId="27328F8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Senior management</w:t>
            </w:r>
          </w:p>
        </w:tc>
        <w:tc>
          <w:tcPr>
            <w:tcW w:w="2131" w:type="dxa"/>
            <w:tcBorders>
              <w:top w:val="nil"/>
              <w:left w:val="nil"/>
              <w:bottom w:val="nil"/>
              <w:right w:val="nil"/>
            </w:tcBorders>
            <w:shd w:val="clear" w:color="auto" w:fill="FFFFFF"/>
            <w:vAlign w:val="center"/>
          </w:tcPr>
          <w:p w14:paraId="59B9D602"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w:t>
            </w:r>
          </w:p>
        </w:tc>
        <w:tc>
          <w:tcPr>
            <w:tcW w:w="2131" w:type="dxa"/>
            <w:tcBorders>
              <w:top w:val="nil"/>
              <w:left w:val="nil"/>
              <w:bottom w:val="nil"/>
              <w:right w:val="nil"/>
            </w:tcBorders>
            <w:shd w:val="clear" w:color="auto" w:fill="FFFFFF"/>
            <w:vAlign w:val="center"/>
          </w:tcPr>
          <w:p w14:paraId="4953F6FF"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w:t>
            </w:r>
          </w:p>
        </w:tc>
      </w:tr>
      <w:tr w:rsidR="00147AD9" w14:paraId="0FFFD068" w14:textId="77777777">
        <w:tc>
          <w:tcPr>
            <w:tcW w:w="2130" w:type="dxa"/>
            <w:tcBorders>
              <w:top w:val="nil"/>
              <w:left w:val="nil"/>
              <w:bottom w:val="single" w:sz="12" w:space="0" w:color="000000"/>
              <w:right w:val="nil"/>
            </w:tcBorders>
            <w:shd w:val="clear" w:color="auto" w:fill="FFFFFF"/>
            <w:vAlign w:val="center"/>
          </w:tcPr>
          <w:p w14:paraId="2D4AD0D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bCs/>
                <w:color w:val="000000"/>
                <w:kern w:val="0"/>
                <w:sz w:val="22"/>
                <w:szCs w:val="22"/>
                <w:lang w:bidi="ar"/>
              </w:rPr>
              <w:t>Total</w:t>
            </w:r>
          </w:p>
        </w:tc>
        <w:tc>
          <w:tcPr>
            <w:tcW w:w="2130" w:type="dxa"/>
            <w:tcBorders>
              <w:top w:val="nil"/>
              <w:left w:val="nil"/>
              <w:bottom w:val="single" w:sz="12" w:space="0" w:color="000000"/>
              <w:right w:val="nil"/>
            </w:tcBorders>
            <w:shd w:val="clear" w:color="auto" w:fill="FFFFFF"/>
            <w:vAlign w:val="center"/>
          </w:tcPr>
          <w:p w14:paraId="2A3A0C50" w14:textId="77777777" w:rsidR="00147AD9" w:rsidRDefault="00147AD9">
            <w:pPr>
              <w:jc w:val="center"/>
              <w:rPr>
                <w:rFonts w:ascii="Times New Roman" w:eastAsia="宋体" w:hAnsi="Times New Roman" w:cs="Times New Roman"/>
                <w:color w:val="000000"/>
                <w:sz w:val="22"/>
                <w:szCs w:val="22"/>
              </w:rPr>
            </w:pPr>
          </w:p>
        </w:tc>
        <w:tc>
          <w:tcPr>
            <w:tcW w:w="2131" w:type="dxa"/>
            <w:tcBorders>
              <w:top w:val="nil"/>
              <w:left w:val="nil"/>
              <w:bottom w:val="single" w:sz="12" w:space="0" w:color="000000"/>
              <w:right w:val="nil"/>
            </w:tcBorders>
            <w:shd w:val="clear" w:color="auto" w:fill="FFFFFF"/>
            <w:vAlign w:val="center"/>
          </w:tcPr>
          <w:p w14:paraId="0FF734D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bCs/>
                <w:color w:val="000000"/>
                <w:kern w:val="0"/>
                <w:sz w:val="22"/>
                <w:szCs w:val="22"/>
                <w:lang w:bidi="ar"/>
              </w:rPr>
              <w:t>353</w:t>
            </w:r>
          </w:p>
        </w:tc>
        <w:tc>
          <w:tcPr>
            <w:tcW w:w="2131" w:type="dxa"/>
            <w:tcBorders>
              <w:top w:val="nil"/>
              <w:left w:val="nil"/>
              <w:bottom w:val="single" w:sz="12" w:space="0" w:color="000000"/>
              <w:right w:val="nil"/>
            </w:tcBorders>
            <w:shd w:val="clear" w:color="auto" w:fill="FFFFFF"/>
            <w:vAlign w:val="center"/>
          </w:tcPr>
          <w:p w14:paraId="19B3563B"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bCs/>
                <w:color w:val="000000"/>
                <w:kern w:val="0"/>
                <w:sz w:val="22"/>
                <w:szCs w:val="22"/>
                <w:lang w:bidi="ar"/>
              </w:rPr>
              <w:t>100%</w:t>
            </w:r>
          </w:p>
        </w:tc>
      </w:tr>
    </w:tbl>
    <w:p w14:paraId="63EAD762" w14:textId="77777777" w:rsidR="00147AD9" w:rsidRDefault="00147AD9">
      <w:pPr>
        <w:rPr>
          <w:rFonts w:ascii="Times New Roman" w:eastAsia="方正大黑体_GBK" w:hAnsi="Times New Roman" w:cs="Times New Roman"/>
          <w:sz w:val="24"/>
        </w:rPr>
      </w:pPr>
    </w:p>
    <w:p w14:paraId="4355ADE2"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4.2 Reliability and Validity Analysis</w:t>
      </w:r>
    </w:p>
    <w:p w14:paraId="48FC846D"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lastRenderedPageBreak/>
        <w:t>To ensure the robustness of the measurement model, we first conducted a reliability analysis of the five latent constructs—Corporate Green Culture (CGC), Green Leadership (GL), Psychological Contract (PC), Employee Green Behavior (EGB), and Perceived Organizational Support (POS). Cronbach’s alpha values for all constructs ranged from 0.857 to 0.87, with the overall scale reaching 0.915 (see Table 2), exceeding the recommended threshold of 0.70 (Nunnally &amp; Bernstein, 1994), indicating high internal consistency across all measurement dimensions.</w:t>
      </w:r>
    </w:p>
    <w:p w14:paraId="1A7134D3" w14:textId="77777777" w:rsidR="00147AD9" w:rsidRDefault="00000000">
      <w:pPr>
        <w:spacing w:afterLines="50" w:after="156"/>
        <w:jc w:val="center"/>
        <w:rPr>
          <w:rFonts w:ascii="Times New Roman" w:hAnsi="Times New Roman" w:cs="Times New Roman"/>
          <w:sz w:val="22"/>
          <w:szCs w:val="22"/>
        </w:rPr>
      </w:pPr>
      <w:r>
        <w:rPr>
          <w:rFonts w:ascii="Times New Roman" w:hAnsi="Times New Roman" w:cs="Times New Roman"/>
          <w:sz w:val="22"/>
          <w:szCs w:val="22"/>
        </w:rPr>
        <w:t>Table 2  Reliability Analysis of Measurement Scales</w:t>
      </w:r>
    </w:p>
    <w:tbl>
      <w:tblPr>
        <w:tblStyle w:val="a6"/>
        <w:tblW w:w="0" w:type="auto"/>
        <w:tblLook w:val="04A0" w:firstRow="1" w:lastRow="0" w:firstColumn="1" w:lastColumn="0" w:noHBand="0" w:noVBand="1"/>
      </w:tblPr>
      <w:tblGrid>
        <w:gridCol w:w="3842"/>
        <w:gridCol w:w="2061"/>
        <w:gridCol w:w="2403"/>
      </w:tblGrid>
      <w:tr w:rsidR="00147AD9" w14:paraId="63B77ABE" w14:textId="77777777">
        <w:tc>
          <w:tcPr>
            <w:tcW w:w="3951" w:type="dxa"/>
            <w:tcBorders>
              <w:top w:val="single" w:sz="12" w:space="0" w:color="000000"/>
              <w:left w:val="nil"/>
              <w:bottom w:val="single" w:sz="4" w:space="0" w:color="000000"/>
              <w:right w:val="nil"/>
              <w:tl2br w:val="nil"/>
            </w:tcBorders>
            <w:shd w:val="clear" w:color="auto" w:fill="FFFFFF"/>
            <w:vAlign w:val="center"/>
          </w:tcPr>
          <w:p w14:paraId="0404335C"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Variable</w:t>
            </w:r>
          </w:p>
        </w:tc>
        <w:tc>
          <w:tcPr>
            <w:tcW w:w="2100" w:type="dxa"/>
            <w:tcBorders>
              <w:top w:val="single" w:sz="12" w:space="0" w:color="000000"/>
              <w:left w:val="nil"/>
              <w:bottom w:val="single" w:sz="4" w:space="0" w:color="000000"/>
              <w:right w:val="nil"/>
            </w:tcBorders>
            <w:shd w:val="clear" w:color="auto" w:fill="FFFFFF"/>
            <w:vAlign w:val="center"/>
          </w:tcPr>
          <w:p w14:paraId="30330672"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Cronbach’s Alpha</w:t>
            </w:r>
          </w:p>
        </w:tc>
        <w:tc>
          <w:tcPr>
            <w:tcW w:w="2471" w:type="dxa"/>
            <w:tcBorders>
              <w:top w:val="single" w:sz="12" w:space="0" w:color="000000"/>
              <w:left w:val="nil"/>
              <w:bottom w:val="single" w:sz="4" w:space="0" w:color="000000"/>
              <w:right w:val="nil"/>
            </w:tcBorders>
            <w:shd w:val="clear" w:color="auto" w:fill="FFFFFF"/>
            <w:vAlign w:val="center"/>
          </w:tcPr>
          <w:p w14:paraId="308B1BD5"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Number of Items</w:t>
            </w:r>
          </w:p>
        </w:tc>
      </w:tr>
      <w:tr w:rsidR="00147AD9" w14:paraId="7B38CEF4" w14:textId="77777777">
        <w:tc>
          <w:tcPr>
            <w:tcW w:w="3951" w:type="dxa"/>
            <w:tcBorders>
              <w:top w:val="single" w:sz="4" w:space="0" w:color="000000"/>
              <w:left w:val="nil"/>
              <w:bottom w:val="nil"/>
              <w:right w:val="nil"/>
            </w:tcBorders>
            <w:shd w:val="clear" w:color="auto" w:fill="FFFFFF"/>
            <w:vAlign w:val="center"/>
          </w:tcPr>
          <w:p w14:paraId="10ECA5FD"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Corporate Green Culture (CGC)</w:t>
            </w:r>
          </w:p>
        </w:tc>
        <w:tc>
          <w:tcPr>
            <w:tcW w:w="2100" w:type="dxa"/>
            <w:tcBorders>
              <w:top w:val="single" w:sz="4" w:space="0" w:color="000000"/>
              <w:left w:val="nil"/>
              <w:bottom w:val="nil"/>
              <w:right w:val="nil"/>
            </w:tcBorders>
            <w:shd w:val="clear" w:color="auto" w:fill="FFFFFF"/>
            <w:vAlign w:val="center"/>
          </w:tcPr>
          <w:p w14:paraId="61A8A204"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0.861</w:t>
            </w:r>
          </w:p>
        </w:tc>
        <w:tc>
          <w:tcPr>
            <w:tcW w:w="2471" w:type="dxa"/>
            <w:tcBorders>
              <w:top w:val="single" w:sz="4" w:space="0" w:color="000000"/>
              <w:left w:val="nil"/>
              <w:bottom w:val="nil"/>
              <w:right w:val="nil"/>
            </w:tcBorders>
            <w:shd w:val="clear" w:color="auto" w:fill="FFFFFF"/>
            <w:vAlign w:val="center"/>
          </w:tcPr>
          <w:p w14:paraId="1D5C5BC1"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r>
      <w:tr w:rsidR="00147AD9" w14:paraId="5A31DC29" w14:textId="77777777">
        <w:tc>
          <w:tcPr>
            <w:tcW w:w="3951" w:type="dxa"/>
            <w:tcBorders>
              <w:top w:val="nil"/>
              <w:left w:val="nil"/>
              <w:bottom w:val="nil"/>
              <w:right w:val="nil"/>
            </w:tcBorders>
            <w:shd w:val="clear" w:color="auto" w:fill="FFFFFF"/>
            <w:vAlign w:val="center"/>
          </w:tcPr>
          <w:p w14:paraId="4D6870A8"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Green Leadership (GL)</w:t>
            </w:r>
          </w:p>
        </w:tc>
        <w:tc>
          <w:tcPr>
            <w:tcW w:w="2100" w:type="dxa"/>
            <w:tcBorders>
              <w:top w:val="nil"/>
              <w:left w:val="nil"/>
              <w:bottom w:val="nil"/>
              <w:right w:val="nil"/>
            </w:tcBorders>
            <w:shd w:val="clear" w:color="auto" w:fill="FFFFFF"/>
            <w:vAlign w:val="center"/>
          </w:tcPr>
          <w:p w14:paraId="3AB6CD59"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0.857</w:t>
            </w:r>
          </w:p>
        </w:tc>
        <w:tc>
          <w:tcPr>
            <w:tcW w:w="2471" w:type="dxa"/>
            <w:tcBorders>
              <w:top w:val="nil"/>
              <w:left w:val="nil"/>
              <w:bottom w:val="nil"/>
              <w:right w:val="nil"/>
            </w:tcBorders>
            <w:shd w:val="clear" w:color="auto" w:fill="FFFFFF"/>
            <w:vAlign w:val="center"/>
          </w:tcPr>
          <w:p w14:paraId="11F0B3E4"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r>
      <w:tr w:rsidR="00147AD9" w14:paraId="4E6C425C" w14:textId="77777777">
        <w:tc>
          <w:tcPr>
            <w:tcW w:w="3951" w:type="dxa"/>
            <w:tcBorders>
              <w:top w:val="nil"/>
              <w:left w:val="nil"/>
              <w:bottom w:val="nil"/>
              <w:right w:val="nil"/>
            </w:tcBorders>
            <w:shd w:val="clear" w:color="auto" w:fill="FFFFFF"/>
            <w:vAlign w:val="center"/>
          </w:tcPr>
          <w:p w14:paraId="45D802C9"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Psychological Contract (PC)</w:t>
            </w:r>
          </w:p>
        </w:tc>
        <w:tc>
          <w:tcPr>
            <w:tcW w:w="2100" w:type="dxa"/>
            <w:tcBorders>
              <w:top w:val="nil"/>
              <w:left w:val="nil"/>
              <w:bottom w:val="nil"/>
              <w:right w:val="nil"/>
            </w:tcBorders>
            <w:shd w:val="clear" w:color="auto" w:fill="FFFFFF"/>
            <w:vAlign w:val="center"/>
          </w:tcPr>
          <w:p w14:paraId="0AEFB675"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0.87</w:t>
            </w:r>
          </w:p>
        </w:tc>
        <w:tc>
          <w:tcPr>
            <w:tcW w:w="2471" w:type="dxa"/>
            <w:tcBorders>
              <w:top w:val="nil"/>
              <w:left w:val="nil"/>
              <w:bottom w:val="nil"/>
              <w:right w:val="nil"/>
            </w:tcBorders>
            <w:shd w:val="clear" w:color="auto" w:fill="FFFFFF"/>
            <w:vAlign w:val="center"/>
          </w:tcPr>
          <w:p w14:paraId="29376D63"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r>
      <w:tr w:rsidR="00147AD9" w14:paraId="4EBE4725" w14:textId="77777777">
        <w:tc>
          <w:tcPr>
            <w:tcW w:w="3951" w:type="dxa"/>
            <w:tcBorders>
              <w:top w:val="nil"/>
              <w:left w:val="nil"/>
              <w:bottom w:val="nil"/>
              <w:right w:val="nil"/>
            </w:tcBorders>
            <w:shd w:val="clear" w:color="auto" w:fill="FFFFFF"/>
            <w:vAlign w:val="center"/>
          </w:tcPr>
          <w:p w14:paraId="2A3AA3A2"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Employee Green Behavior (EGB)</w:t>
            </w:r>
          </w:p>
        </w:tc>
        <w:tc>
          <w:tcPr>
            <w:tcW w:w="2100" w:type="dxa"/>
            <w:tcBorders>
              <w:top w:val="nil"/>
              <w:left w:val="nil"/>
              <w:bottom w:val="nil"/>
              <w:right w:val="nil"/>
            </w:tcBorders>
            <w:shd w:val="clear" w:color="auto" w:fill="FFFFFF"/>
            <w:vAlign w:val="center"/>
          </w:tcPr>
          <w:p w14:paraId="26A43A05"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0.864</w:t>
            </w:r>
          </w:p>
        </w:tc>
        <w:tc>
          <w:tcPr>
            <w:tcW w:w="2471" w:type="dxa"/>
            <w:tcBorders>
              <w:top w:val="nil"/>
              <w:left w:val="nil"/>
              <w:bottom w:val="nil"/>
              <w:right w:val="nil"/>
            </w:tcBorders>
            <w:shd w:val="clear" w:color="auto" w:fill="FFFFFF"/>
            <w:vAlign w:val="center"/>
          </w:tcPr>
          <w:p w14:paraId="0552A631"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r>
      <w:tr w:rsidR="00147AD9" w14:paraId="2FFE0B50" w14:textId="77777777">
        <w:tc>
          <w:tcPr>
            <w:tcW w:w="3951" w:type="dxa"/>
            <w:tcBorders>
              <w:top w:val="nil"/>
              <w:left w:val="nil"/>
              <w:bottom w:val="nil"/>
              <w:right w:val="nil"/>
            </w:tcBorders>
            <w:shd w:val="clear" w:color="auto" w:fill="FFFFFF"/>
            <w:vAlign w:val="center"/>
          </w:tcPr>
          <w:p w14:paraId="74BC29C2"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Perceived Organizational Support (POS)</w:t>
            </w:r>
          </w:p>
        </w:tc>
        <w:tc>
          <w:tcPr>
            <w:tcW w:w="2100" w:type="dxa"/>
            <w:tcBorders>
              <w:top w:val="nil"/>
              <w:left w:val="nil"/>
              <w:bottom w:val="nil"/>
              <w:right w:val="nil"/>
            </w:tcBorders>
            <w:shd w:val="clear" w:color="auto" w:fill="FFFFFF"/>
            <w:vAlign w:val="center"/>
          </w:tcPr>
          <w:p w14:paraId="719AF714"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0.865</w:t>
            </w:r>
          </w:p>
        </w:tc>
        <w:tc>
          <w:tcPr>
            <w:tcW w:w="2471" w:type="dxa"/>
            <w:tcBorders>
              <w:top w:val="nil"/>
              <w:left w:val="nil"/>
              <w:bottom w:val="nil"/>
              <w:right w:val="nil"/>
            </w:tcBorders>
            <w:shd w:val="clear" w:color="auto" w:fill="FFFFFF"/>
            <w:vAlign w:val="center"/>
          </w:tcPr>
          <w:p w14:paraId="6105A0FE"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r>
      <w:tr w:rsidR="00147AD9" w14:paraId="78F9B146" w14:textId="77777777">
        <w:tc>
          <w:tcPr>
            <w:tcW w:w="3951" w:type="dxa"/>
            <w:tcBorders>
              <w:top w:val="nil"/>
              <w:left w:val="nil"/>
              <w:bottom w:val="single" w:sz="12" w:space="0" w:color="000000"/>
              <w:right w:val="nil"/>
            </w:tcBorders>
            <w:shd w:val="clear" w:color="auto" w:fill="FFFFFF"/>
            <w:vAlign w:val="center"/>
          </w:tcPr>
          <w:p w14:paraId="4004CA23"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Total Scale</w:t>
            </w:r>
          </w:p>
        </w:tc>
        <w:tc>
          <w:tcPr>
            <w:tcW w:w="2100" w:type="dxa"/>
            <w:tcBorders>
              <w:top w:val="nil"/>
              <w:left w:val="nil"/>
              <w:bottom w:val="single" w:sz="12" w:space="0" w:color="000000"/>
              <w:right w:val="nil"/>
            </w:tcBorders>
            <w:shd w:val="clear" w:color="auto" w:fill="FFFFFF"/>
            <w:vAlign w:val="center"/>
          </w:tcPr>
          <w:p w14:paraId="12CB84E6"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0.915</w:t>
            </w:r>
          </w:p>
        </w:tc>
        <w:tc>
          <w:tcPr>
            <w:tcW w:w="2471" w:type="dxa"/>
            <w:tcBorders>
              <w:top w:val="nil"/>
              <w:left w:val="nil"/>
              <w:bottom w:val="single" w:sz="12" w:space="0" w:color="000000"/>
              <w:right w:val="nil"/>
            </w:tcBorders>
            <w:shd w:val="clear" w:color="auto" w:fill="FFFFFF"/>
            <w:vAlign w:val="center"/>
          </w:tcPr>
          <w:p w14:paraId="24B6196A"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20</w:t>
            </w:r>
          </w:p>
        </w:tc>
      </w:tr>
    </w:tbl>
    <w:p w14:paraId="1E12CC5C" w14:textId="77777777" w:rsidR="00147AD9" w:rsidRDefault="00147AD9">
      <w:pPr>
        <w:rPr>
          <w:rFonts w:ascii="Times New Roman" w:eastAsia="方正大黑体_GBK" w:hAnsi="Times New Roman" w:cs="Times New Roman"/>
          <w:sz w:val="24"/>
        </w:rPr>
      </w:pPr>
    </w:p>
    <w:p w14:paraId="523697B3"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Confirmatory Factor Analysis (CFA) was subsequently employed to assess the construct validity of the measurement model. As shown in Figure 2, each item loaded significantly onto its respective latent factor, with standardized factor loadings ranging from 0.75 to 0.82, all above the acceptable benchmark of 0.50 (Hair et al., 2019). The model fit indices were excellent: CMIN/DF = 1.057, RMSEA = 0.013, and IFI, TLI, and CFI all equaled 0.997 (see Table 3), well above the commonly accepted thresholds (Byrne, 2016; Hu &amp; Bentler, 1999).</w:t>
      </w:r>
    </w:p>
    <w:p w14:paraId="1366834C" w14:textId="77777777" w:rsidR="00147AD9" w:rsidRDefault="00000000">
      <w:pPr>
        <w:jc w:val="center"/>
        <w:rPr>
          <w:rFonts w:ascii="Times New Roman" w:hAnsi="Times New Roman" w:cs="Times New Roman"/>
          <w:sz w:val="22"/>
          <w:szCs w:val="22"/>
        </w:rPr>
      </w:pPr>
      <w:r>
        <w:rPr>
          <w:rFonts w:ascii="Times New Roman" w:hAnsi="Times New Roman" w:cs="Times New Roman"/>
          <w:sz w:val="22"/>
          <w:szCs w:val="22"/>
        </w:rPr>
        <w:t>Table 3  Model Fit Indices for Confirmatory Factor Analysis (CFA)</w:t>
      </w:r>
    </w:p>
    <w:tbl>
      <w:tblPr>
        <w:tblW w:w="4998" w:type="pct"/>
        <w:tblLook w:val="04A0" w:firstRow="1" w:lastRow="0" w:firstColumn="1" w:lastColumn="0" w:noHBand="0" w:noVBand="1"/>
      </w:tblPr>
      <w:tblGrid>
        <w:gridCol w:w="1632"/>
        <w:gridCol w:w="4844"/>
        <w:gridCol w:w="1827"/>
      </w:tblGrid>
      <w:tr w:rsidR="00147AD9" w14:paraId="5E203B6E" w14:textId="77777777">
        <w:trPr>
          <w:trHeight w:val="540"/>
        </w:trPr>
        <w:tc>
          <w:tcPr>
            <w:tcW w:w="983" w:type="pct"/>
            <w:tcBorders>
              <w:top w:val="single" w:sz="12" w:space="0" w:color="000000"/>
              <w:left w:val="nil"/>
              <w:bottom w:val="single" w:sz="4" w:space="0" w:color="000000"/>
              <w:right w:val="nil"/>
              <w:tl2br w:val="nil"/>
            </w:tcBorders>
            <w:shd w:val="clear" w:color="auto" w:fill="FFFFFF"/>
            <w:vAlign w:val="center"/>
          </w:tcPr>
          <w:p w14:paraId="5EC7C935"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Fit Index</w:t>
            </w:r>
          </w:p>
        </w:tc>
        <w:tc>
          <w:tcPr>
            <w:tcW w:w="2916" w:type="pct"/>
            <w:tcBorders>
              <w:top w:val="single" w:sz="12" w:space="0" w:color="000000"/>
              <w:left w:val="nil"/>
              <w:bottom w:val="single" w:sz="4" w:space="0" w:color="000000"/>
              <w:right w:val="nil"/>
            </w:tcBorders>
            <w:shd w:val="clear" w:color="auto" w:fill="FFFFFF"/>
            <w:vAlign w:val="center"/>
          </w:tcPr>
          <w:p w14:paraId="317EE4D9"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Recommended Threshold</w:t>
            </w:r>
          </w:p>
        </w:tc>
        <w:tc>
          <w:tcPr>
            <w:tcW w:w="1100" w:type="pct"/>
            <w:tcBorders>
              <w:top w:val="single" w:sz="12" w:space="0" w:color="000000"/>
              <w:left w:val="nil"/>
              <w:bottom w:val="single" w:sz="4" w:space="0" w:color="000000"/>
              <w:right w:val="nil"/>
            </w:tcBorders>
            <w:shd w:val="clear" w:color="auto" w:fill="FFFFFF"/>
            <w:vAlign w:val="center"/>
          </w:tcPr>
          <w:p w14:paraId="6C1E3691"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Observed Value</w:t>
            </w:r>
          </w:p>
        </w:tc>
      </w:tr>
      <w:tr w:rsidR="00147AD9" w14:paraId="7ACD65C7" w14:textId="77777777">
        <w:trPr>
          <w:trHeight w:val="480"/>
        </w:trPr>
        <w:tc>
          <w:tcPr>
            <w:tcW w:w="983" w:type="pct"/>
            <w:tcBorders>
              <w:top w:val="single" w:sz="4" w:space="0" w:color="000000"/>
              <w:left w:val="nil"/>
              <w:bottom w:val="nil"/>
              <w:right w:val="nil"/>
            </w:tcBorders>
            <w:shd w:val="clear" w:color="auto" w:fill="FFFFFF"/>
            <w:vAlign w:val="center"/>
          </w:tcPr>
          <w:p w14:paraId="1594D46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CMIN/DF</w:t>
            </w:r>
          </w:p>
        </w:tc>
        <w:tc>
          <w:tcPr>
            <w:tcW w:w="2916" w:type="pct"/>
            <w:tcBorders>
              <w:top w:val="single" w:sz="4" w:space="0" w:color="000000"/>
              <w:left w:val="nil"/>
              <w:bottom w:val="nil"/>
              <w:right w:val="nil"/>
            </w:tcBorders>
            <w:shd w:val="clear" w:color="auto" w:fill="FFFFFF"/>
            <w:vAlign w:val="center"/>
          </w:tcPr>
          <w:p w14:paraId="09A4A340"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1–3: Excellent, 3–5: Acceptable</w:t>
            </w:r>
          </w:p>
        </w:tc>
        <w:tc>
          <w:tcPr>
            <w:tcW w:w="1100" w:type="pct"/>
            <w:tcBorders>
              <w:top w:val="single" w:sz="4" w:space="0" w:color="000000"/>
              <w:left w:val="nil"/>
              <w:bottom w:val="nil"/>
              <w:right w:val="nil"/>
            </w:tcBorders>
            <w:shd w:val="clear" w:color="auto" w:fill="FFFFFF"/>
            <w:vAlign w:val="center"/>
          </w:tcPr>
          <w:p w14:paraId="0C17741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1.057</w:t>
            </w:r>
          </w:p>
        </w:tc>
      </w:tr>
      <w:tr w:rsidR="00147AD9" w14:paraId="2E627F1F" w14:textId="77777777">
        <w:trPr>
          <w:trHeight w:val="412"/>
        </w:trPr>
        <w:tc>
          <w:tcPr>
            <w:tcW w:w="983" w:type="pct"/>
            <w:tcBorders>
              <w:top w:val="nil"/>
              <w:left w:val="nil"/>
              <w:bottom w:val="nil"/>
              <w:right w:val="nil"/>
            </w:tcBorders>
            <w:shd w:val="clear" w:color="auto" w:fill="FFFFFF"/>
            <w:vAlign w:val="center"/>
          </w:tcPr>
          <w:p w14:paraId="34C671D0"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RMSEA</w:t>
            </w:r>
          </w:p>
        </w:tc>
        <w:tc>
          <w:tcPr>
            <w:tcW w:w="2916" w:type="pct"/>
            <w:tcBorders>
              <w:top w:val="nil"/>
              <w:left w:val="nil"/>
              <w:bottom w:val="nil"/>
              <w:right w:val="nil"/>
            </w:tcBorders>
            <w:shd w:val="clear" w:color="auto" w:fill="FFFFFF"/>
            <w:vAlign w:val="center"/>
          </w:tcPr>
          <w:p w14:paraId="3C090F6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&lt; 0.05: Excellent, &lt; 0.08: Acceptable</w:t>
            </w:r>
          </w:p>
        </w:tc>
        <w:tc>
          <w:tcPr>
            <w:tcW w:w="1100" w:type="pct"/>
            <w:tcBorders>
              <w:top w:val="nil"/>
              <w:left w:val="nil"/>
              <w:bottom w:val="nil"/>
              <w:right w:val="nil"/>
            </w:tcBorders>
            <w:shd w:val="clear" w:color="auto" w:fill="FFFFFF"/>
            <w:vAlign w:val="center"/>
          </w:tcPr>
          <w:p w14:paraId="42A0D04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0.013</w:t>
            </w:r>
          </w:p>
        </w:tc>
      </w:tr>
      <w:tr w:rsidR="00147AD9" w14:paraId="4FEE7E20" w14:textId="77777777">
        <w:trPr>
          <w:trHeight w:val="435"/>
        </w:trPr>
        <w:tc>
          <w:tcPr>
            <w:tcW w:w="983" w:type="pct"/>
            <w:tcBorders>
              <w:top w:val="nil"/>
              <w:left w:val="nil"/>
              <w:bottom w:val="nil"/>
              <w:right w:val="nil"/>
            </w:tcBorders>
            <w:shd w:val="clear" w:color="auto" w:fill="FFFFFF"/>
            <w:vAlign w:val="center"/>
          </w:tcPr>
          <w:p w14:paraId="13B38781"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IFI</w:t>
            </w:r>
          </w:p>
        </w:tc>
        <w:tc>
          <w:tcPr>
            <w:tcW w:w="2916" w:type="pct"/>
            <w:tcBorders>
              <w:top w:val="nil"/>
              <w:left w:val="nil"/>
              <w:bottom w:val="nil"/>
              <w:right w:val="nil"/>
            </w:tcBorders>
            <w:shd w:val="clear" w:color="auto" w:fill="FFFFFF"/>
            <w:vAlign w:val="center"/>
          </w:tcPr>
          <w:p w14:paraId="69621F0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&gt; 0.90: Excellent, &gt; 0.80: Acceptable</w:t>
            </w:r>
          </w:p>
        </w:tc>
        <w:tc>
          <w:tcPr>
            <w:tcW w:w="1100" w:type="pct"/>
            <w:tcBorders>
              <w:top w:val="nil"/>
              <w:left w:val="nil"/>
              <w:bottom w:val="nil"/>
              <w:right w:val="nil"/>
            </w:tcBorders>
            <w:shd w:val="clear" w:color="auto" w:fill="FFFFFF"/>
            <w:vAlign w:val="center"/>
          </w:tcPr>
          <w:p w14:paraId="744D2E19"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0.997</w:t>
            </w:r>
          </w:p>
        </w:tc>
      </w:tr>
      <w:tr w:rsidR="00147AD9" w14:paraId="0A42040B" w14:textId="77777777">
        <w:trPr>
          <w:trHeight w:val="427"/>
        </w:trPr>
        <w:tc>
          <w:tcPr>
            <w:tcW w:w="983" w:type="pct"/>
            <w:tcBorders>
              <w:top w:val="nil"/>
              <w:left w:val="nil"/>
              <w:bottom w:val="nil"/>
              <w:right w:val="nil"/>
            </w:tcBorders>
            <w:shd w:val="clear" w:color="auto" w:fill="FFFFFF"/>
            <w:vAlign w:val="center"/>
          </w:tcPr>
          <w:p w14:paraId="0B697402"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TLI</w:t>
            </w:r>
          </w:p>
        </w:tc>
        <w:tc>
          <w:tcPr>
            <w:tcW w:w="2916" w:type="pct"/>
            <w:tcBorders>
              <w:top w:val="nil"/>
              <w:left w:val="nil"/>
              <w:bottom w:val="nil"/>
              <w:right w:val="nil"/>
            </w:tcBorders>
            <w:shd w:val="clear" w:color="auto" w:fill="FFFFFF"/>
            <w:vAlign w:val="center"/>
          </w:tcPr>
          <w:p w14:paraId="6794372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&gt; 0.90: Excellent, &gt; 0.80: Acceptable</w:t>
            </w:r>
          </w:p>
        </w:tc>
        <w:tc>
          <w:tcPr>
            <w:tcW w:w="1100" w:type="pct"/>
            <w:tcBorders>
              <w:top w:val="nil"/>
              <w:left w:val="nil"/>
              <w:bottom w:val="nil"/>
              <w:right w:val="nil"/>
            </w:tcBorders>
            <w:shd w:val="clear" w:color="auto" w:fill="FFFFFF"/>
            <w:vAlign w:val="center"/>
          </w:tcPr>
          <w:p w14:paraId="3C14EFD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0.997</w:t>
            </w:r>
          </w:p>
        </w:tc>
      </w:tr>
      <w:tr w:rsidR="00147AD9" w14:paraId="093AB868" w14:textId="77777777">
        <w:trPr>
          <w:trHeight w:val="412"/>
        </w:trPr>
        <w:tc>
          <w:tcPr>
            <w:tcW w:w="983" w:type="pct"/>
            <w:tcBorders>
              <w:top w:val="nil"/>
              <w:left w:val="nil"/>
              <w:bottom w:val="single" w:sz="12" w:space="0" w:color="000000"/>
              <w:right w:val="nil"/>
            </w:tcBorders>
            <w:shd w:val="clear" w:color="auto" w:fill="FFFFFF"/>
            <w:vAlign w:val="center"/>
          </w:tcPr>
          <w:p w14:paraId="21A1D3EB"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CFI</w:t>
            </w:r>
          </w:p>
        </w:tc>
        <w:tc>
          <w:tcPr>
            <w:tcW w:w="2916" w:type="pct"/>
            <w:tcBorders>
              <w:top w:val="nil"/>
              <w:left w:val="nil"/>
              <w:bottom w:val="single" w:sz="12" w:space="0" w:color="000000"/>
              <w:right w:val="nil"/>
            </w:tcBorders>
            <w:shd w:val="clear" w:color="auto" w:fill="FFFFFF"/>
            <w:vAlign w:val="center"/>
          </w:tcPr>
          <w:p w14:paraId="584BA181"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&gt; 0.90: Excellent, &gt; 0.80: Acceptable</w:t>
            </w:r>
          </w:p>
        </w:tc>
        <w:tc>
          <w:tcPr>
            <w:tcW w:w="1100" w:type="pct"/>
            <w:tcBorders>
              <w:top w:val="nil"/>
              <w:left w:val="nil"/>
              <w:bottom w:val="single" w:sz="12" w:space="0" w:color="000000"/>
              <w:right w:val="nil"/>
            </w:tcBorders>
            <w:shd w:val="clear" w:color="auto" w:fill="FFFFFF"/>
            <w:vAlign w:val="center"/>
          </w:tcPr>
          <w:p w14:paraId="687FC879"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0.997</w:t>
            </w:r>
          </w:p>
        </w:tc>
      </w:tr>
    </w:tbl>
    <w:p w14:paraId="2CC11738" w14:textId="77777777" w:rsidR="00147AD9" w:rsidRDefault="00000000">
      <w:pPr>
        <w:jc w:val="center"/>
        <w:rPr>
          <w:rFonts w:ascii="Times New Roman" w:hAnsi="Times New Roman" w:cs="Times New Roman"/>
        </w:rPr>
      </w:pPr>
      <w:r>
        <w:rPr>
          <w:rFonts w:ascii="Times New Roman" w:hAnsi="Times New Roman" w:cs="Times New Roman"/>
          <w:noProof/>
        </w:rPr>
        <w:lastRenderedPageBreak/>
        <w:drawing>
          <wp:inline distT="0" distB="0" distL="114300" distR="114300" wp14:anchorId="1DBEF9AE" wp14:editId="427D47FA">
            <wp:extent cx="2233295" cy="2882900"/>
            <wp:effectExtent l="0" t="0" r="5080" b="317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2233295" cy="2882900"/>
                    </a:xfrm>
                    <a:prstGeom prst="rect">
                      <a:avLst/>
                    </a:prstGeom>
                  </pic:spPr>
                </pic:pic>
              </a:graphicData>
            </a:graphic>
          </wp:inline>
        </w:drawing>
      </w:r>
    </w:p>
    <w:p w14:paraId="06A483FB" w14:textId="77777777" w:rsidR="00147AD9" w:rsidRDefault="00000000">
      <w:pPr>
        <w:jc w:val="center"/>
        <w:rPr>
          <w:rFonts w:ascii="Times New Roman" w:eastAsia="宋体" w:hAnsi="Times New Roman" w:cs="Times New Roman"/>
          <w:sz w:val="22"/>
          <w:szCs w:val="22"/>
        </w:rPr>
      </w:pPr>
      <w:r>
        <w:rPr>
          <w:rFonts w:ascii="Times New Roman" w:eastAsia="宋体" w:hAnsi="Times New Roman" w:cs="Times New Roman"/>
          <w:sz w:val="22"/>
          <w:szCs w:val="22"/>
        </w:rPr>
        <w:t>Figure 2. Confirmatory Factor Analysis (CFA) Model of the Measurement Constructs</w:t>
      </w:r>
    </w:p>
    <w:p w14:paraId="7067F658" w14:textId="77777777" w:rsidR="00147AD9" w:rsidRDefault="00147AD9">
      <w:pPr>
        <w:jc w:val="center"/>
        <w:rPr>
          <w:rFonts w:ascii="Times New Roman" w:eastAsia="宋体" w:hAnsi="Times New Roman" w:cs="Times New Roman"/>
          <w:sz w:val="22"/>
          <w:szCs w:val="22"/>
        </w:rPr>
      </w:pPr>
    </w:p>
    <w:p w14:paraId="5F6276B8"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Convergent validity was supported by the high factor loadings, while discriminant validity was evident through the significant differences among construct covariances and the favorable model structure (Mirahsani et al., 2024; Elshaer et al., 2024). Additionally, the Average Variance Extracted (AVE) and Composite Reliability (CR) values, though not listed here, were calculated and all met the criteria of AVE &gt; 0.50 and CR &gt; 0.70, further confirming the psychometric adequacy of the scales (Fornell &amp; Larcker, 1981).</w:t>
      </w:r>
    </w:p>
    <w:p w14:paraId="5F714849"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In conclusion, both reliability and validity assessments demonstrate that the measurement model possesses solid psychometric properties, ensuring the accuracy and consistency of subsequent structural analyses.</w:t>
      </w:r>
    </w:p>
    <w:p w14:paraId="17EEF163"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4.3 Construct Validity</w:t>
      </w:r>
    </w:p>
    <w:p w14:paraId="44AF26C6"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In order to ensure the robustness of the measurement model, this study conducted a comprehensive assessment of construct validity encompassing convergent validity, discriminant validity, and univariate normality. The results indicate that the latent constructs employed in the study exhibit satisfactory psychometric properties.</w:t>
      </w:r>
    </w:p>
    <w:p w14:paraId="0E6F6288"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4.3.1 Convergent Validity</w:t>
      </w:r>
    </w:p>
    <w:p w14:paraId="6223C4C2"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Convergent validity refers to the extent to which multiple indicators of a given construct share a high proportion of variance in common. As presented in Table 4, all standardized factor loadings range from 0.751 to 0.823, surpassing the minimum threshold of 0.70 recommended by Hair et al. (2019), thereby indicating strong item convergence. The Average Variance Extracted (AVE) values for all constructs exceed the 0.50 benchmark proposed by Fornell and Larcker (1981)—namely, CGC (0.608), GL (0.600), PC (0.627), EGB (0.615), and POS (0.616)—suggesting that more than half of the variance in the observed indicators is captured by their respective latent constructs.</w:t>
      </w:r>
    </w:p>
    <w:p w14:paraId="11404003" w14:textId="77777777" w:rsidR="00147AD9" w:rsidRDefault="00147AD9">
      <w:pPr>
        <w:jc w:val="center"/>
        <w:rPr>
          <w:rFonts w:ascii="Times New Roman" w:eastAsia="宋体" w:hAnsi="Times New Roman" w:cs="Times New Roman"/>
          <w:sz w:val="22"/>
          <w:szCs w:val="22"/>
        </w:rPr>
      </w:pPr>
    </w:p>
    <w:p w14:paraId="68E47E64" w14:textId="77777777" w:rsidR="00147AD9" w:rsidRDefault="00000000">
      <w:pPr>
        <w:jc w:val="center"/>
        <w:rPr>
          <w:rFonts w:ascii="Times New Roman" w:hAnsi="Times New Roman" w:cs="Times New Roman"/>
          <w:sz w:val="22"/>
          <w:szCs w:val="22"/>
        </w:rPr>
      </w:pPr>
      <w:r>
        <w:rPr>
          <w:rFonts w:ascii="Times New Roman" w:eastAsia="宋体" w:hAnsi="Times New Roman" w:cs="Times New Roman"/>
          <w:sz w:val="22"/>
          <w:szCs w:val="22"/>
        </w:rPr>
        <w:t>Table 4  Convergent Validity and Composite Reliability of Constructs</w:t>
      </w:r>
    </w:p>
    <w:tbl>
      <w:tblPr>
        <w:tblW w:w="4998" w:type="pct"/>
        <w:tblLayout w:type="fixed"/>
        <w:tblLook w:val="04A0" w:firstRow="1" w:lastRow="0" w:firstColumn="1" w:lastColumn="0" w:noHBand="0" w:noVBand="1"/>
      </w:tblPr>
      <w:tblGrid>
        <w:gridCol w:w="1044"/>
        <w:gridCol w:w="987"/>
        <w:gridCol w:w="3248"/>
        <w:gridCol w:w="1154"/>
        <w:gridCol w:w="978"/>
        <w:gridCol w:w="892"/>
      </w:tblGrid>
      <w:tr w:rsidR="00147AD9" w14:paraId="2AB6817E" w14:textId="77777777">
        <w:trPr>
          <w:trHeight w:val="300"/>
        </w:trPr>
        <w:tc>
          <w:tcPr>
            <w:tcW w:w="3177" w:type="pct"/>
            <w:gridSpan w:val="3"/>
            <w:tcBorders>
              <w:top w:val="single" w:sz="12" w:space="0" w:color="000000"/>
              <w:left w:val="nil"/>
              <w:bottom w:val="single" w:sz="4" w:space="0" w:color="000000"/>
              <w:right w:val="nil"/>
              <w:tl2br w:val="nil"/>
            </w:tcBorders>
            <w:shd w:val="clear" w:color="auto" w:fill="FFFFFF"/>
            <w:vAlign w:val="center"/>
          </w:tcPr>
          <w:p w14:paraId="20D1B139"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Path Relationship</w:t>
            </w:r>
          </w:p>
        </w:tc>
        <w:tc>
          <w:tcPr>
            <w:tcW w:w="695" w:type="pct"/>
            <w:tcBorders>
              <w:top w:val="single" w:sz="12" w:space="0" w:color="000000"/>
              <w:left w:val="nil"/>
              <w:bottom w:val="single" w:sz="4" w:space="0" w:color="000000"/>
              <w:right w:val="nil"/>
            </w:tcBorders>
            <w:shd w:val="clear" w:color="auto" w:fill="FFFFFF"/>
            <w:vAlign w:val="center"/>
          </w:tcPr>
          <w:p w14:paraId="2788AAF4"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Estimate</w:t>
            </w:r>
          </w:p>
        </w:tc>
        <w:tc>
          <w:tcPr>
            <w:tcW w:w="589" w:type="pct"/>
            <w:tcBorders>
              <w:top w:val="single" w:sz="12" w:space="0" w:color="000000"/>
              <w:left w:val="nil"/>
              <w:bottom w:val="single" w:sz="4" w:space="0" w:color="000000"/>
              <w:right w:val="nil"/>
            </w:tcBorders>
            <w:shd w:val="clear" w:color="auto" w:fill="FFFFFF"/>
            <w:vAlign w:val="center"/>
          </w:tcPr>
          <w:p w14:paraId="411324EA"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AVE</w:t>
            </w:r>
          </w:p>
        </w:tc>
        <w:tc>
          <w:tcPr>
            <w:tcW w:w="537" w:type="pct"/>
            <w:tcBorders>
              <w:top w:val="single" w:sz="12" w:space="0" w:color="000000"/>
              <w:left w:val="nil"/>
              <w:bottom w:val="single" w:sz="4" w:space="0" w:color="000000"/>
              <w:right w:val="nil"/>
            </w:tcBorders>
            <w:shd w:val="clear" w:color="auto" w:fill="FFFFFF"/>
            <w:vAlign w:val="center"/>
          </w:tcPr>
          <w:p w14:paraId="167BE96C"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CR</w:t>
            </w:r>
          </w:p>
        </w:tc>
      </w:tr>
      <w:tr w:rsidR="00147AD9" w14:paraId="59B568DE" w14:textId="77777777">
        <w:trPr>
          <w:trHeight w:val="300"/>
        </w:trPr>
        <w:tc>
          <w:tcPr>
            <w:tcW w:w="628" w:type="pct"/>
            <w:tcBorders>
              <w:top w:val="single" w:sz="4" w:space="0" w:color="000000"/>
              <w:left w:val="nil"/>
              <w:bottom w:val="nil"/>
              <w:right w:val="nil"/>
            </w:tcBorders>
            <w:shd w:val="clear" w:color="auto" w:fill="FFFFFF"/>
            <w:noWrap/>
            <w:vAlign w:val="center"/>
          </w:tcPr>
          <w:p w14:paraId="36928D86"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 xml:space="preserve">CGC4 </w:t>
            </w:r>
          </w:p>
        </w:tc>
        <w:tc>
          <w:tcPr>
            <w:tcW w:w="594" w:type="pct"/>
            <w:tcBorders>
              <w:top w:val="single" w:sz="4" w:space="0" w:color="000000"/>
              <w:left w:val="nil"/>
              <w:bottom w:val="nil"/>
              <w:right w:val="nil"/>
            </w:tcBorders>
            <w:shd w:val="clear" w:color="auto" w:fill="FFFFFF"/>
            <w:noWrap/>
            <w:vAlign w:val="center"/>
          </w:tcPr>
          <w:p w14:paraId="2F4C23D9"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&lt;---</w:t>
            </w:r>
          </w:p>
        </w:tc>
        <w:tc>
          <w:tcPr>
            <w:tcW w:w="1954" w:type="pct"/>
            <w:tcBorders>
              <w:top w:val="single" w:sz="4" w:space="0" w:color="000000"/>
              <w:left w:val="nil"/>
              <w:bottom w:val="nil"/>
              <w:right w:val="nil"/>
            </w:tcBorders>
            <w:shd w:val="clear" w:color="auto" w:fill="FFFFFF"/>
            <w:vAlign w:val="center"/>
          </w:tcPr>
          <w:p w14:paraId="17081154"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Corporate Green Culture</w:t>
            </w:r>
          </w:p>
        </w:tc>
        <w:tc>
          <w:tcPr>
            <w:tcW w:w="695" w:type="pct"/>
            <w:tcBorders>
              <w:top w:val="single" w:sz="4" w:space="0" w:color="000000"/>
              <w:left w:val="nil"/>
              <w:bottom w:val="nil"/>
              <w:right w:val="nil"/>
            </w:tcBorders>
            <w:shd w:val="clear" w:color="auto" w:fill="FFFFFF"/>
            <w:vAlign w:val="center"/>
          </w:tcPr>
          <w:p w14:paraId="2B8D80A9"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0.782</w:t>
            </w:r>
          </w:p>
        </w:tc>
        <w:tc>
          <w:tcPr>
            <w:tcW w:w="1005" w:type="dxa"/>
            <w:tcBorders>
              <w:top w:val="single" w:sz="4" w:space="0" w:color="000000"/>
              <w:left w:val="nil"/>
              <w:bottom w:val="nil"/>
              <w:right w:val="nil"/>
            </w:tcBorders>
            <w:shd w:val="clear" w:color="auto" w:fill="FFFFFF"/>
            <w:vAlign w:val="center"/>
          </w:tcPr>
          <w:p w14:paraId="6E8D8F42"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0.861</w:t>
            </w:r>
          </w:p>
        </w:tc>
        <w:tc>
          <w:tcPr>
            <w:tcW w:w="537" w:type="pct"/>
            <w:tcBorders>
              <w:top w:val="single" w:sz="4" w:space="0" w:color="000000"/>
              <w:left w:val="nil"/>
              <w:bottom w:val="nil"/>
              <w:right w:val="nil"/>
            </w:tcBorders>
            <w:shd w:val="clear" w:color="auto" w:fill="FFFFFF"/>
            <w:vAlign w:val="center"/>
          </w:tcPr>
          <w:p w14:paraId="47BDDC3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rPr>
              <w:t>0.608</w:t>
            </w:r>
          </w:p>
        </w:tc>
      </w:tr>
      <w:tr w:rsidR="00147AD9" w14:paraId="116B66A8" w14:textId="77777777">
        <w:trPr>
          <w:trHeight w:val="300"/>
        </w:trPr>
        <w:tc>
          <w:tcPr>
            <w:tcW w:w="628" w:type="pct"/>
            <w:tcBorders>
              <w:top w:val="nil"/>
              <w:left w:val="nil"/>
              <w:bottom w:val="nil"/>
              <w:right w:val="nil"/>
            </w:tcBorders>
            <w:shd w:val="clear" w:color="auto" w:fill="FFFFFF"/>
            <w:noWrap/>
            <w:vAlign w:val="center"/>
          </w:tcPr>
          <w:p w14:paraId="1F84EC69"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CGC3</w:t>
            </w:r>
          </w:p>
        </w:tc>
        <w:tc>
          <w:tcPr>
            <w:tcW w:w="594" w:type="pct"/>
            <w:tcBorders>
              <w:top w:val="nil"/>
              <w:left w:val="nil"/>
              <w:bottom w:val="nil"/>
              <w:right w:val="nil"/>
            </w:tcBorders>
            <w:shd w:val="clear" w:color="auto" w:fill="FFFFFF"/>
            <w:noWrap/>
            <w:vAlign w:val="center"/>
          </w:tcPr>
          <w:p w14:paraId="496E30D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 xml:space="preserve">&lt;--- </w:t>
            </w:r>
          </w:p>
        </w:tc>
        <w:tc>
          <w:tcPr>
            <w:tcW w:w="1954" w:type="pct"/>
            <w:tcBorders>
              <w:top w:val="nil"/>
              <w:left w:val="nil"/>
              <w:bottom w:val="nil"/>
              <w:right w:val="nil"/>
            </w:tcBorders>
            <w:shd w:val="clear" w:color="auto" w:fill="FFFFFF"/>
            <w:vAlign w:val="center"/>
          </w:tcPr>
          <w:p w14:paraId="23557B62"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Corporate Green Culture</w:t>
            </w:r>
          </w:p>
        </w:tc>
        <w:tc>
          <w:tcPr>
            <w:tcW w:w="695" w:type="pct"/>
            <w:tcBorders>
              <w:top w:val="nil"/>
              <w:left w:val="nil"/>
              <w:bottom w:val="nil"/>
              <w:right w:val="nil"/>
            </w:tcBorders>
            <w:shd w:val="clear" w:color="auto" w:fill="FFFFFF"/>
            <w:vAlign w:val="center"/>
          </w:tcPr>
          <w:p w14:paraId="216B2410"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0.779</w:t>
            </w:r>
          </w:p>
        </w:tc>
        <w:tc>
          <w:tcPr>
            <w:tcW w:w="1005" w:type="dxa"/>
            <w:tcBorders>
              <w:top w:val="nil"/>
              <w:left w:val="nil"/>
              <w:bottom w:val="nil"/>
              <w:right w:val="nil"/>
            </w:tcBorders>
            <w:shd w:val="clear" w:color="auto" w:fill="FFFFFF"/>
            <w:vAlign w:val="center"/>
          </w:tcPr>
          <w:p w14:paraId="26533BE7" w14:textId="77777777" w:rsidR="00147AD9" w:rsidRDefault="00147AD9">
            <w:pPr>
              <w:jc w:val="center"/>
              <w:rPr>
                <w:rFonts w:ascii="Times New Roman" w:eastAsia="宋体" w:hAnsi="Times New Roman" w:cs="Times New Roman"/>
                <w:color w:val="000000"/>
                <w:sz w:val="22"/>
                <w:szCs w:val="22"/>
              </w:rPr>
            </w:pPr>
          </w:p>
        </w:tc>
        <w:tc>
          <w:tcPr>
            <w:tcW w:w="537" w:type="pct"/>
            <w:tcBorders>
              <w:top w:val="nil"/>
              <w:left w:val="nil"/>
              <w:bottom w:val="nil"/>
              <w:right w:val="nil"/>
            </w:tcBorders>
            <w:shd w:val="clear" w:color="auto" w:fill="FFFFFF"/>
            <w:vAlign w:val="center"/>
          </w:tcPr>
          <w:p w14:paraId="622DC856" w14:textId="77777777" w:rsidR="00147AD9" w:rsidRDefault="00147AD9">
            <w:pPr>
              <w:jc w:val="center"/>
              <w:rPr>
                <w:rFonts w:ascii="Times New Roman" w:eastAsia="宋体" w:hAnsi="Times New Roman" w:cs="Times New Roman"/>
                <w:color w:val="000000"/>
                <w:sz w:val="22"/>
                <w:szCs w:val="22"/>
              </w:rPr>
            </w:pPr>
          </w:p>
        </w:tc>
      </w:tr>
      <w:tr w:rsidR="00147AD9" w14:paraId="7BBA2283" w14:textId="77777777">
        <w:trPr>
          <w:trHeight w:val="300"/>
        </w:trPr>
        <w:tc>
          <w:tcPr>
            <w:tcW w:w="628" w:type="pct"/>
            <w:tcBorders>
              <w:top w:val="nil"/>
              <w:left w:val="nil"/>
              <w:bottom w:val="nil"/>
              <w:right w:val="nil"/>
            </w:tcBorders>
            <w:shd w:val="clear" w:color="auto" w:fill="FFFFFF"/>
            <w:noWrap/>
            <w:vAlign w:val="center"/>
          </w:tcPr>
          <w:p w14:paraId="604E0595"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CGC2</w:t>
            </w:r>
          </w:p>
        </w:tc>
        <w:tc>
          <w:tcPr>
            <w:tcW w:w="594" w:type="pct"/>
            <w:tcBorders>
              <w:top w:val="nil"/>
              <w:left w:val="nil"/>
              <w:bottom w:val="nil"/>
              <w:right w:val="nil"/>
            </w:tcBorders>
            <w:shd w:val="clear" w:color="auto" w:fill="FFFFFF"/>
            <w:noWrap/>
            <w:vAlign w:val="center"/>
          </w:tcPr>
          <w:p w14:paraId="2C391B11"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&lt;---</w:t>
            </w:r>
          </w:p>
        </w:tc>
        <w:tc>
          <w:tcPr>
            <w:tcW w:w="1954" w:type="pct"/>
            <w:tcBorders>
              <w:top w:val="nil"/>
              <w:left w:val="nil"/>
              <w:bottom w:val="nil"/>
              <w:right w:val="nil"/>
            </w:tcBorders>
            <w:shd w:val="clear" w:color="auto" w:fill="FFFFFF"/>
            <w:vAlign w:val="center"/>
          </w:tcPr>
          <w:p w14:paraId="25D03145"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Corporate Green Culture</w:t>
            </w:r>
          </w:p>
        </w:tc>
        <w:tc>
          <w:tcPr>
            <w:tcW w:w="695" w:type="pct"/>
            <w:tcBorders>
              <w:top w:val="nil"/>
              <w:left w:val="nil"/>
              <w:bottom w:val="nil"/>
              <w:right w:val="nil"/>
            </w:tcBorders>
            <w:shd w:val="clear" w:color="auto" w:fill="FFFFFF"/>
            <w:vAlign w:val="center"/>
          </w:tcPr>
          <w:p w14:paraId="3EFEF29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0.767</w:t>
            </w:r>
          </w:p>
        </w:tc>
        <w:tc>
          <w:tcPr>
            <w:tcW w:w="1005" w:type="dxa"/>
            <w:tcBorders>
              <w:top w:val="nil"/>
              <w:left w:val="nil"/>
              <w:bottom w:val="nil"/>
              <w:right w:val="nil"/>
            </w:tcBorders>
            <w:shd w:val="clear" w:color="auto" w:fill="FFFFFF"/>
            <w:vAlign w:val="center"/>
          </w:tcPr>
          <w:p w14:paraId="55AD727B" w14:textId="77777777" w:rsidR="00147AD9" w:rsidRDefault="00147AD9">
            <w:pPr>
              <w:jc w:val="center"/>
              <w:rPr>
                <w:rFonts w:ascii="Times New Roman" w:eastAsia="宋体" w:hAnsi="Times New Roman" w:cs="Times New Roman"/>
                <w:color w:val="000000"/>
                <w:sz w:val="22"/>
                <w:szCs w:val="22"/>
              </w:rPr>
            </w:pPr>
          </w:p>
        </w:tc>
        <w:tc>
          <w:tcPr>
            <w:tcW w:w="537" w:type="pct"/>
            <w:tcBorders>
              <w:top w:val="nil"/>
              <w:left w:val="nil"/>
              <w:bottom w:val="nil"/>
              <w:right w:val="nil"/>
            </w:tcBorders>
            <w:shd w:val="clear" w:color="auto" w:fill="FFFFFF"/>
            <w:vAlign w:val="center"/>
          </w:tcPr>
          <w:p w14:paraId="7A0DBA89" w14:textId="77777777" w:rsidR="00147AD9" w:rsidRDefault="00147AD9">
            <w:pPr>
              <w:jc w:val="center"/>
              <w:rPr>
                <w:rFonts w:ascii="Times New Roman" w:eastAsia="宋体" w:hAnsi="Times New Roman" w:cs="Times New Roman"/>
                <w:color w:val="000000"/>
                <w:sz w:val="22"/>
                <w:szCs w:val="22"/>
              </w:rPr>
            </w:pPr>
          </w:p>
        </w:tc>
      </w:tr>
      <w:tr w:rsidR="00147AD9" w14:paraId="7C33E9DD" w14:textId="77777777">
        <w:trPr>
          <w:trHeight w:val="300"/>
        </w:trPr>
        <w:tc>
          <w:tcPr>
            <w:tcW w:w="628" w:type="pct"/>
            <w:tcBorders>
              <w:top w:val="nil"/>
              <w:left w:val="nil"/>
              <w:bottom w:val="nil"/>
              <w:right w:val="nil"/>
            </w:tcBorders>
            <w:shd w:val="clear" w:color="auto" w:fill="FFFFFF"/>
            <w:noWrap/>
            <w:vAlign w:val="center"/>
          </w:tcPr>
          <w:p w14:paraId="2ECAE876"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CGC1</w:t>
            </w:r>
          </w:p>
        </w:tc>
        <w:tc>
          <w:tcPr>
            <w:tcW w:w="594" w:type="pct"/>
            <w:tcBorders>
              <w:top w:val="nil"/>
              <w:left w:val="nil"/>
              <w:bottom w:val="nil"/>
              <w:right w:val="nil"/>
            </w:tcBorders>
            <w:shd w:val="clear" w:color="auto" w:fill="FFFFFF"/>
            <w:noWrap/>
            <w:vAlign w:val="center"/>
          </w:tcPr>
          <w:p w14:paraId="3944CDDC"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&lt;---</w:t>
            </w:r>
          </w:p>
        </w:tc>
        <w:tc>
          <w:tcPr>
            <w:tcW w:w="1954" w:type="pct"/>
            <w:tcBorders>
              <w:top w:val="nil"/>
              <w:left w:val="nil"/>
              <w:bottom w:val="nil"/>
              <w:right w:val="nil"/>
            </w:tcBorders>
            <w:shd w:val="clear" w:color="auto" w:fill="FFFFFF"/>
            <w:vAlign w:val="center"/>
          </w:tcPr>
          <w:p w14:paraId="1F9A465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Corporate Green Culture</w:t>
            </w:r>
          </w:p>
        </w:tc>
        <w:tc>
          <w:tcPr>
            <w:tcW w:w="695" w:type="pct"/>
            <w:tcBorders>
              <w:top w:val="nil"/>
              <w:left w:val="nil"/>
              <w:bottom w:val="nil"/>
              <w:right w:val="nil"/>
            </w:tcBorders>
            <w:shd w:val="clear" w:color="auto" w:fill="FFFFFF"/>
            <w:vAlign w:val="center"/>
          </w:tcPr>
          <w:p w14:paraId="7C89542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0.791</w:t>
            </w:r>
          </w:p>
        </w:tc>
        <w:tc>
          <w:tcPr>
            <w:tcW w:w="1005" w:type="dxa"/>
            <w:tcBorders>
              <w:top w:val="nil"/>
              <w:left w:val="nil"/>
              <w:bottom w:val="nil"/>
              <w:right w:val="nil"/>
            </w:tcBorders>
            <w:shd w:val="clear" w:color="auto" w:fill="FFFFFF"/>
            <w:vAlign w:val="center"/>
          </w:tcPr>
          <w:p w14:paraId="3B6DCF6E" w14:textId="77777777" w:rsidR="00147AD9" w:rsidRDefault="00147AD9">
            <w:pPr>
              <w:jc w:val="center"/>
              <w:rPr>
                <w:rFonts w:ascii="Times New Roman" w:eastAsia="宋体" w:hAnsi="Times New Roman" w:cs="Times New Roman"/>
                <w:color w:val="000000"/>
                <w:sz w:val="22"/>
                <w:szCs w:val="22"/>
              </w:rPr>
            </w:pPr>
          </w:p>
        </w:tc>
        <w:tc>
          <w:tcPr>
            <w:tcW w:w="537" w:type="pct"/>
            <w:tcBorders>
              <w:top w:val="nil"/>
              <w:left w:val="nil"/>
              <w:bottom w:val="nil"/>
              <w:right w:val="nil"/>
            </w:tcBorders>
            <w:shd w:val="clear" w:color="auto" w:fill="FFFFFF"/>
            <w:vAlign w:val="center"/>
          </w:tcPr>
          <w:p w14:paraId="7EBB8D98" w14:textId="77777777" w:rsidR="00147AD9" w:rsidRDefault="00147AD9">
            <w:pPr>
              <w:jc w:val="center"/>
              <w:rPr>
                <w:rFonts w:ascii="Times New Roman" w:eastAsia="宋体" w:hAnsi="Times New Roman" w:cs="Times New Roman"/>
                <w:color w:val="000000"/>
                <w:sz w:val="22"/>
                <w:szCs w:val="22"/>
              </w:rPr>
            </w:pPr>
          </w:p>
        </w:tc>
      </w:tr>
      <w:tr w:rsidR="00147AD9" w14:paraId="5A88DDD0" w14:textId="77777777">
        <w:trPr>
          <w:trHeight w:val="300"/>
        </w:trPr>
        <w:tc>
          <w:tcPr>
            <w:tcW w:w="628" w:type="pct"/>
            <w:tcBorders>
              <w:top w:val="nil"/>
              <w:left w:val="nil"/>
              <w:bottom w:val="nil"/>
              <w:right w:val="nil"/>
            </w:tcBorders>
            <w:shd w:val="clear" w:color="auto" w:fill="FFFFFF"/>
            <w:noWrap/>
            <w:vAlign w:val="center"/>
          </w:tcPr>
          <w:p w14:paraId="6E9FC7FB"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GL4</w:t>
            </w:r>
          </w:p>
        </w:tc>
        <w:tc>
          <w:tcPr>
            <w:tcW w:w="594" w:type="pct"/>
            <w:tcBorders>
              <w:top w:val="nil"/>
              <w:left w:val="nil"/>
              <w:bottom w:val="nil"/>
              <w:right w:val="nil"/>
            </w:tcBorders>
            <w:shd w:val="clear" w:color="auto" w:fill="FFFFFF"/>
            <w:noWrap/>
            <w:vAlign w:val="center"/>
          </w:tcPr>
          <w:p w14:paraId="02C7DC6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&lt;---</w:t>
            </w:r>
          </w:p>
        </w:tc>
        <w:tc>
          <w:tcPr>
            <w:tcW w:w="1954" w:type="pct"/>
            <w:tcBorders>
              <w:top w:val="nil"/>
              <w:left w:val="nil"/>
              <w:bottom w:val="nil"/>
              <w:right w:val="nil"/>
            </w:tcBorders>
            <w:shd w:val="clear" w:color="auto" w:fill="FFFFFF"/>
            <w:vAlign w:val="center"/>
          </w:tcPr>
          <w:p w14:paraId="485F046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Green Leadership</w:t>
            </w:r>
          </w:p>
        </w:tc>
        <w:tc>
          <w:tcPr>
            <w:tcW w:w="695" w:type="pct"/>
            <w:tcBorders>
              <w:top w:val="nil"/>
              <w:left w:val="nil"/>
              <w:bottom w:val="nil"/>
              <w:right w:val="nil"/>
            </w:tcBorders>
            <w:shd w:val="clear" w:color="auto" w:fill="FFFFFF"/>
            <w:vAlign w:val="center"/>
          </w:tcPr>
          <w:p w14:paraId="0038CAF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0.785</w:t>
            </w:r>
          </w:p>
        </w:tc>
        <w:tc>
          <w:tcPr>
            <w:tcW w:w="1005" w:type="dxa"/>
            <w:tcBorders>
              <w:top w:val="nil"/>
              <w:left w:val="nil"/>
              <w:bottom w:val="nil"/>
              <w:right w:val="nil"/>
            </w:tcBorders>
            <w:shd w:val="clear" w:color="auto" w:fill="FFFFFF"/>
            <w:vAlign w:val="center"/>
          </w:tcPr>
          <w:p w14:paraId="1DCF7DF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0.857</w:t>
            </w:r>
          </w:p>
        </w:tc>
        <w:tc>
          <w:tcPr>
            <w:tcW w:w="537" w:type="pct"/>
            <w:tcBorders>
              <w:top w:val="nil"/>
              <w:left w:val="nil"/>
              <w:bottom w:val="nil"/>
              <w:right w:val="nil"/>
            </w:tcBorders>
            <w:shd w:val="clear" w:color="auto" w:fill="FFFFFF"/>
            <w:vAlign w:val="center"/>
          </w:tcPr>
          <w:p w14:paraId="3C2109FC"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rPr>
              <w:t>0.6</w:t>
            </w:r>
          </w:p>
        </w:tc>
      </w:tr>
      <w:tr w:rsidR="00147AD9" w14:paraId="0B57EC27" w14:textId="77777777">
        <w:trPr>
          <w:trHeight w:val="300"/>
        </w:trPr>
        <w:tc>
          <w:tcPr>
            <w:tcW w:w="628" w:type="pct"/>
            <w:tcBorders>
              <w:top w:val="nil"/>
              <w:left w:val="nil"/>
              <w:bottom w:val="nil"/>
              <w:right w:val="nil"/>
            </w:tcBorders>
            <w:shd w:val="clear" w:color="auto" w:fill="FFFFFF"/>
            <w:noWrap/>
            <w:vAlign w:val="center"/>
          </w:tcPr>
          <w:p w14:paraId="4FB26986"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GL3</w:t>
            </w:r>
          </w:p>
        </w:tc>
        <w:tc>
          <w:tcPr>
            <w:tcW w:w="594" w:type="pct"/>
            <w:tcBorders>
              <w:top w:val="nil"/>
              <w:left w:val="nil"/>
              <w:bottom w:val="nil"/>
              <w:right w:val="nil"/>
            </w:tcBorders>
            <w:shd w:val="clear" w:color="auto" w:fill="FFFFFF"/>
            <w:noWrap/>
            <w:vAlign w:val="center"/>
          </w:tcPr>
          <w:p w14:paraId="0A87284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&lt;---</w:t>
            </w:r>
          </w:p>
        </w:tc>
        <w:tc>
          <w:tcPr>
            <w:tcW w:w="1954" w:type="pct"/>
            <w:tcBorders>
              <w:top w:val="nil"/>
              <w:left w:val="nil"/>
              <w:bottom w:val="nil"/>
              <w:right w:val="nil"/>
            </w:tcBorders>
            <w:shd w:val="clear" w:color="auto" w:fill="FFFFFF"/>
            <w:vAlign w:val="center"/>
          </w:tcPr>
          <w:p w14:paraId="7E20E329"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Green Leadership</w:t>
            </w:r>
          </w:p>
        </w:tc>
        <w:tc>
          <w:tcPr>
            <w:tcW w:w="695" w:type="pct"/>
            <w:tcBorders>
              <w:top w:val="nil"/>
              <w:left w:val="nil"/>
              <w:bottom w:val="nil"/>
              <w:right w:val="nil"/>
            </w:tcBorders>
            <w:shd w:val="clear" w:color="auto" w:fill="FFFFFF"/>
            <w:vAlign w:val="center"/>
          </w:tcPr>
          <w:p w14:paraId="4EB7A50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0.774</w:t>
            </w:r>
          </w:p>
        </w:tc>
        <w:tc>
          <w:tcPr>
            <w:tcW w:w="1005" w:type="dxa"/>
            <w:tcBorders>
              <w:top w:val="nil"/>
              <w:left w:val="nil"/>
              <w:bottom w:val="nil"/>
              <w:right w:val="nil"/>
            </w:tcBorders>
            <w:shd w:val="clear" w:color="auto" w:fill="FFFFFF"/>
            <w:vAlign w:val="center"/>
          </w:tcPr>
          <w:p w14:paraId="76424D83" w14:textId="77777777" w:rsidR="00147AD9" w:rsidRDefault="00147AD9">
            <w:pPr>
              <w:jc w:val="center"/>
              <w:rPr>
                <w:rFonts w:ascii="Times New Roman" w:eastAsia="宋体" w:hAnsi="Times New Roman" w:cs="Times New Roman"/>
                <w:color w:val="000000"/>
                <w:sz w:val="22"/>
                <w:szCs w:val="22"/>
              </w:rPr>
            </w:pPr>
          </w:p>
        </w:tc>
        <w:tc>
          <w:tcPr>
            <w:tcW w:w="537" w:type="pct"/>
            <w:tcBorders>
              <w:top w:val="nil"/>
              <w:left w:val="nil"/>
              <w:bottom w:val="nil"/>
              <w:right w:val="nil"/>
            </w:tcBorders>
            <w:shd w:val="clear" w:color="auto" w:fill="FFFFFF"/>
            <w:vAlign w:val="center"/>
          </w:tcPr>
          <w:p w14:paraId="68A48A3B" w14:textId="77777777" w:rsidR="00147AD9" w:rsidRDefault="00147AD9">
            <w:pPr>
              <w:jc w:val="center"/>
              <w:rPr>
                <w:rFonts w:ascii="Times New Roman" w:eastAsia="宋体" w:hAnsi="Times New Roman" w:cs="Times New Roman"/>
                <w:color w:val="000000"/>
                <w:sz w:val="22"/>
                <w:szCs w:val="22"/>
              </w:rPr>
            </w:pPr>
          </w:p>
        </w:tc>
      </w:tr>
      <w:tr w:rsidR="00147AD9" w14:paraId="13B11E5D" w14:textId="77777777">
        <w:trPr>
          <w:trHeight w:val="300"/>
        </w:trPr>
        <w:tc>
          <w:tcPr>
            <w:tcW w:w="628" w:type="pct"/>
            <w:tcBorders>
              <w:top w:val="nil"/>
              <w:left w:val="nil"/>
              <w:bottom w:val="nil"/>
              <w:right w:val="nil"/>
            </w:tcBorders>
            <w:shd w:val="clear" w:color="auto" w:fill="FFFFFF"/>
            <w:noWrap/>
            <w:vAlign w:val="center"/>
          </w:tcPr>
          <w:p w14:paraId="470B4B2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GL2</w:t>
            </w:r>
          </w:p>
        </w:tc>
        <w:tc>
          <w:tcPr>
            <w:tcW w:w="594" w:type="pct"/>
            <w:tcBorders>
              <w:top w:val="nil"/>
              <w:left w:val="nil"/>
              <w:bottom w:val="nil"/>
              <w:right w:val="nil"/>
            </w:tcBorders>
            <w:shd w:val="clear" w:color="auto" w:fill="FFFFFF"/>
            <w:noWrap/>
            <w:vAlign w:val="center"/>
          </w:tcPr>
          <w:p w14:paraId="174F708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&lt;---</w:t>
            </w:r>
          </w:p>
        </w:tc>
        <w:tc>
          <w:tcPr>
            <w:tcW w:w="1954" w:type="pct"/>
            <w:tcBorders>
              <w:top w:val="nil"/>
              <w:left w:val="nil"/>
              <w:bottom w:val="nil"/>
              <w:right w:val="nil"/>
            </w:tcBorders>
            <w:shd w:val="clear" w:color="auto" w:fill="FFFFFF"/>
            <w:vAlign w:val="center"/>
          </w:tcPr>
          <w:p w14:paraId="5D9D0F49"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Green Leadership</w:t>
            </w:r>
          </w:p>
        </w:tc>
        <w:tc>
          <w:tcPr>
            <w:tcW w:w="695" w:type="pct"/>
            <w:tcBorders>
              <w:top w:val="nil"/>
              <w:left w:val="nil"/>
              <w:bottom w:val="nil"/>
              <w:right w:val="nil"/>
            </w:tcBorders>
            <w:shd w:val="clear" w:color="auto" w:fill="FFFFFF"/>
            <w:vAlign w:val="center"/>
          </w:tcPr>
          <w:p w14:paraId="6D60435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0.751</w:t>
            </w:r>
          </w:p>
        </w:tc>
        <w:tc>
          <w:tcPr>
            <w:tcW w:w="1005" w:type="dxa"/>
            <w:tcBorders>
              <w:top w:val="nil"/>
              <w:left w:val="nil"/>
              <w:bottom w:val="nil"/>
              <w:right w:val="nil"/>
            </w:tcBorders>
            <w:shd w:val="clear" w:color="auto" w:fill="FFFFFF"/>
            <w:vAlign w:val="center"/>
          </w:tcPr>
          <w:p w14:paraId="2104B9C0" w14:textId="77777777" w:rsidR="00147AD9" w:rsidRDefault="00147AD9">
            <w:pPr>
              <w:jc w:val="center"/>
              <w:rPr>
                <w:rFonts w:ascii="Times New Roman" w:eastAsia="宋体" w:hAnsi="Times New Roman" w:cs="Times New Roman"/>
                <w:color w:val="000000"/>
                <w:sz w:val="22"/>
                <w:szCs w:val="22"/>
              </w:rPr>
            </w:pPr>
          </w:p>
        </w:tc>
        <w:tc>
          <w:tcPr>
            <w:tcW w:w="537" w:type="pct"/>
            <w:tcBorders>
              <w:top w:val="nil"/>
              <w:left w:val="nil"/>
              <w:bottom w:val="nil"/>
              <w:right w:val="nil"/>
            </w:tcBorders>
            <w:shd w:val="clear" w:color="auto" w:fill="FFFFFF"/>
            <w:vAlign w:val="center"/>
          </w:tcPr>
          <w:p w14:paraId="4D56BD83" w14:textId="77777777" w:rsidR="00147AD9" w:rsidRDefault="00147AD9">
            <w:pPr>
              <w:jc w:val="center"/>
              <w:rPr>
                <w:rFonts w:ascii="Times New Roman" w:eastAsia="宋体" w:hAnsi="Times New Roman" w:cs="Times New Roman"/>
                <w:color w:val="000000"/>
                <w:sz w:val="22"/>
                <w:szCs w:val="22"/>
              </w:rPr>
            </w:pPr>
          </w:p>
        </w:tc>
      </w:tr>
      <w:tr w:rsidR="00147AD9" w14:paraId="36C3459B" w14:textId="77777777">
        <w:trPr>
          <w:trHeight w:val="300"/>
        </w:trPr>
        <w:tc>
          <w:tcPr>
            <w:tcW w:w="628" w:type="pct"/>
            <w:tcBorders>
              <w:top w:val="nil"/>
              <w:left w:val="nil"/>
              <w:bottom w:val="nil"/>
              <w:right w:val="nil"/>
            </w:tcBorders>
            <w:shd w:val="clear" w:color="auto" w:fill="FFFFFF"/>
            <w:noWrap/>
            <w:vAlign w:val="center"/>
          </w:tcPr>
          <w:p w14:paraId="0CE68C1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GL1</w:t>
            </w:r>
          </w:p>
        </w:tc>
        <w:tc>
          <w:tcPr>
            <w:tcW w:w="594" w:type="pct"/>
            <w:tcBorders>
              <w:top w:val="nil"/>
              <w:left w:val="nil"/>
              <w:bottom w:val="nil"/>
              <w:right w:val="nil"/>
            </w:tcBorders>
            <w:shd w:val="clear" w:color="auto" w:fill="FFFFFF"/>
            <w:noWrap/>
            <w:vAlign w:val="center"/>
          </w:tcPr>
          <w:p w14:paraId="0399DC1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&lt;---</w:t>
            </w:r>
          </w:p>
        </w:tc>
        <w:tc>
          <w:tcPr>
            <w:tcW w:w="1954" w:type="pct"/>
            <w:tcBorders>
              <w:top w:val="nil"/>
              <w:left w:val="nil"/>
              <w:bottom w:val="nil"/>
              <w:right w:val="nil"/>
            </w:tcBorders>
            <w:shd w:val="clear" w:color="auto" w:fill="FFFFFF"/>
            <w:vAlign w:val="center"/>
          </w:tcPr>
          <w:p w14:paraId="409D815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Green Leadership</w:t>
            </w:r>
          </w:p>
        </w:tc>
        <w:tc>
          <w:tcPr>
            <w:tcW w:w="695" w:type="pct"/>
            <w:tcBorders>
              <w:top w:val="nil"/>
              <w:left w:val="nil"/>
              <w:bottom w:val="nil"/>
              <w:right w:val="nil"/>
            </w:tcBorders>
            <w:shd w:val="clear" w:color="auto" w:fill="FFFFFF"/>
            <w:vAlign w:val="center"/>
          </w:tcPr>
          <w:p w14:paraId="7577299C"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0.788</w:t>
            </w:r>
          </w:p>
        </w:tc>
        <w:tc>
          <w:tcPr>
            <w:tcW w:w="1005" w:type="dxa"/>
            <w:tcBorders>
              <w:top w:val="nil"/>
              <w:left w:val="nil"/>
              <w:bottom w:val="nil"/>
              <w:right w:val="nil"/>
            </w:tcBorders>
            <w:shd w:val="clear" w:color="auto" w:fill="FFFFFF"/>
            <w:vAlign w:val="center"/>
          </w:tcPr>
          <w:p w14:paraId="77844B6A" w14:textId="77777777" w:rsidR="00147AD9" w:rsidRDefault="00147AD9">
            <w:pPr>
              <w:jc w:val="center"/>
              <w:rPr>
                <w:rFonts w:ascii="Times New Roman" w:eastAsia="宋体" w:hAnsi="Times New Roman" w:cs="Times New Roman"/>
                <w:color w:val="000000"/>
                <w:sz w:val="22"/>
                <w:szCs w:val="22"/>
              </w:rPr>
            </w:pPr>
          </w:p>
        </w:tc>
        <w:tc>
          <w:tcPr>
            <w:tcW w:w="537" w:type="pct"/>
            <w:tcBorders>
              <w:top w:val="nil"/>
              <w:left w:val="nil"/>
              <w:bottom w:val="nil"/>
              <w:right w:val="nil"/>
            </w:tcBorders>
            <w:shd w:val="clear" w:color="auto" w:fill="FFFFFF"/>
            <w:vAlign w:val="center"/>
          </w:tcPr>
          <w:p w14:paraId="294E2A8E" w14:textId="77777777" w:rsidR="00147AD9" w:rsidRDefault="00147AD9">
            <w:pPr>
              <w:jc w:val="center"/>
              <w:rPr>
                <w:rFonts w:ascii="Times New Roman" w:eastAsia="宋体" w:hAnsi="Times New Roman" w:cs="Times New Roman"/>
                <w:color w:val="000000"/>
                <w:sz w:val="22"/>
                <w:szCs w:val="22"/>
              </w:rPr>
            </w:pPr>
          </w:p>
        </w:tc>
      </w:tr>
      <w:tr w:rsidR="00147AD9" w14:paraId="14FABDEB" w14:textId="77777777">
        <w:trPr>
          <w:trHeight w:val="300"/>
        </w:trPr>
        <w:tc>
          <w:tcPr>
            <w:tcW w:w="628" w:type="pct"/>
            <w:tcBorders>
              <w:top w:val="nil"/>
              <w:left w:val="nil"/>
              <w:bottom w:val="nil"/>
              <w:right w:val="nil"/>
            </w:tcBorders>
            <w:shd w:val="clear" w:color="auto" w:fill="FFFFFF"/>
            <w:noWrap/>
            <w:vAlign w:val="center"/>
          </w:tcPr>
          <w:p w14:paraId="7C5211B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PC4</w:t>
            </w:r>
          </w:p>
        </w:tc>
        <w:tc>
          <w:tcPr>
            <w:tcW w:w="594" w:type="pct"/>
            <w:tcBorders>
              <w:top w:val="nil"/>
              <w:left w:val="nil"/>
              <w:bottom w:val="nil"/>
              <w:right w:val="nil"/>
            </w:tcBorders>
            <w:shd w:val="clear" w:color="auto" w:fill="FFFFFF"/>
            <w:noWrap/>
            <w:vAlign w:val="center"/>
          </w:tcPr>
          <w:p w14:paraId="737F75F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&lt;---</w:t>
            </w:r>
          </w:p>
        </w:tc>
        <w:tc>
          <w:tcPr>
            <w:tcW w:w="1954" w:type="pct"/>
            <w:tcBorders>
              <w:top w:val="nil"/>
              <w:left w:val="nil"/>
              <w:bottom w:val="nil"/>
              <w:right w:val="nil"/>
            </w:tcBorders>
            <w:shd w:val="clear" w:color="auto" w:fill="FFFFFF"/>
            <w:vAlign w:val="center"/>
          </w:tcPr>
          <w:p w14:paraId="7BDDA41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Psychological Contract</w:t>
            </w:r>
          </w:p>
        </w:tc>
        <w:tc>
          <w:tcPr>
            <w:tcW w:w="695" w:type="pct"/>
            <w:tcBorders>
              <w:top w:val="nil"/>
              <w:left w:val="nil"/>
              <w:bottom w:val="nil"/>
              <w:right w:val="nil"/>
            </w:tcBorders>
            <w:shd w:val="clear" w:color="auto" w:fill="FFFFFF"/>
            <w:vAlign w:val="center"/>
          </w:tcPr>
          <w:p w14:paraId="00ED60C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0.816</w:t>
            </w:r>
          </w:p>
        </w:tc>
        <w:tc>
          <w:tcPr>
            <w:tcW w:w="1005" w:type="dxa"/>
            <w:tcBorders>
              <w:top w:val="nil"/>
              <w:left w:val="nil"/>
              <w:bottom w:val="nil"/>
              <w:right w:val="nil"/>
            </w:tcBorders>
            <w:shd w:val="clear" w:color="auto" w:fill="FFFFFF"/>
            <w:vAlign w:val="center"/>
          </w:tcPr>
          <w:p w14:paraId="2DA651F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0.87</w:t>
            </w:r>
          </w:p>
        </w:tc>
        <w:tc>
          <w:tcPr>
            <w:tcW w:w="537" w:type="pct"/>
            <w:tcBorders>
              <w:top w:val="nil"/>
              <w:left w:val="nil"/>
              <w:bottom w:val="nil"/>
              <w:right w:val="nil"/>
            </w:tcBorders>
            <w:shd w:val="clear" w:color="auto" w:fill="FFFFFF"/>
            <w:vAlign w:val="center"/>
          </w:tcPr>
          <w:p w14:paraId="60A42A61"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rPr>
              <w:t>0.627</w:t>
            </w:r>
          </w:p>
        </w:tc>
      </w:tr>
      <w:tr w:rsidR="00147AD9" w14:paraId="606B675F" w14:textId="77777777">
        <w:trPr>
          <w:trHeight w:val="300"/>
        </w:trPr>
        <w:tc>
          <w:tcPr>
            <w:tcW w:w="628" w:type="pct"/>
            <w:tcBorders>
              <w:top w:val="nil"/>
              <w:left w:val="nil"/>
              <w:bottom w:val="nil"/>
              <w:right w:val="nil"/>
            </w:tcBorders>
            <w:shd w:val="clear" w:color="auto" w:fill="FFFFFF"/>
            <w:noWrap/>
            <w:vAlign w:val="center"/>
          </w:tcPr>
          <w:p w14:paraId="7254A71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 xml:space="preserve">PC3 </w:t>
            </w:r>
          </w:p>
        </w:tc>
        <w:tc>
          <w:tcPr>
            <w:tcW w:w="594" w:type="pct"/>
            <w:tcBorders>
              <w:top w:val="nil"/>
              <w:left w:val="nil"/>
              <w:bottom w:val="nil"/>
              <w:right w:val="nil"/>
            </w:tcBorders>
            <w:shd w:val="clear" w:color="auto" w:fill="FFFFFF"/>
            <w:noWrap/>
            <w:vAlign w:val="center"/>
          </w:tcPr>
          <w:p w14:paraId="349B7C45"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&lt;---</w:t>
            </w:r>
          </w:p>
        </w:tc>
        <w:tc>
          <w:tcPr>
            <w:tcW w:w="1954" w:type="pct"/>
            <w:tcBorders>
              <w:top w:val="nil"/>
              <w:left w:val="nil"/>
              <w:bottom w:val="nil"/>
              <w:right w:val="nil"/>
            </w:tcBorders>
            <w:shd w:val="clear" w:color="auto" w:fill="FFFFFF"/>
            <w:vAlign w:val="center"/>
          </w:tcPr>
          <w:p w14:paraId="4BFB253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Psychological Contract</w:t>
            </w:r>
          </w:p>
        </w:tc>
        <w:tc>
          <w:tcPr>
            <w:tcW w:w="695" w:type="pct"/>
            <w:tcBorders>
              <w:top w:val="nil"/>
              <w:left w:val="nil"/>
              <w:bottom w:val="nil"/>
              <w:right w:val="nil"/>
            </w:tcBorders>
            <w:shd w:val="clear" w:color="auto" w:fill="FFFFFF"/>
            <w:vAlign w:val="center"/>
          </w:tcPr>
          <w:p w14:paraId="7CD00AD1"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0.806</w:t>
            </w:r>
          </w:p>
        </w:tc>
        <w:tc>
          <w:tcPr>
            <w:tcW w:w="1005" w:type="dxa"/>
            <w:tcBorders>
              <w:top w:val="nil"/>
              <w:left w:val="nil"/>
              <w:bottom w:val="nil"/>
              <w:right w:val="nil"/>
            </w:tcBorders>
            <w:shd w:val="clear" w:color="auto" w:fill="FFFFFF"/>
            <w:vAlign w:val="center"/>
          </w:tcPr>
          <w:p w14:paraId="543BF194" w14:textId="77777777" w:rsidR="00147AD9" w:rsidRDefault="00147AD9">
            <w:pPr>
              <w:jc w:val="center"/>
              <w:rPr>
                <w:rFonts w:ascii="Times New Roman" w:eastAsia="宋体" w:hAnsi="Times New Roman" w:cs="Times New Roman"/>
                <w:color w:val="000000"/>
                <w:sz w:val="22"/>
                <w:szCs w:val="22"/>
              </w:rPr>
            </w:pPr>
          </w:p>
        </w:tc>
        <w:tc>
          <w:tcPr>
            <w:tcW w:w="537" w:type="pct"/>
            <w:tcBorders>
              <w:top w:val="nil"/>
              <w:left w:val="nil"/>
              <w:bottom w:val="nil"/>
              <w:right w:val="nil"/>
            </w:tcBorders>
            <w:shd w:val="clear" w:color="auto" w:fill="FFFFFF"/>
            <w:vAlign w:val="center"/>
          </w:tcPr>
          <w:p w14:paraId="1AAFAC22" w14:textId="77777777" w:rsidR="00147AD9" w:rsidRDefault="00147AD9">
            <w:pPr>
              <w:jc w:val="center"/>
              <w:rPr>
                <w:rFonts w:ascii="Times New Roman" w:eastAsia="宋体" w:hAnsi="Times New Roman" w:cs="Times New Roman"/>
                <w:color w:val="000000"/>
                <w:sz w:val="22"/>
                <w:szCs w:val="22"/>
              </w:rPr>
            </w:pPr>
          </w:p>
        </w:tc>
      </w:tr>
      <w:tr w:rsidR="00147AD9" w14:paraId="2CAEDE6D" w14:textId="77777777">
        <w:trPr>
          <w:trHeight w:val="300"/>
        </w:trPr>
        <w:tc>
          <w:tcPr>
            <w:tcW w:w="628" w:type="pct"/>
            <w:tcBorders>
              <w:top w:val="nil"/>
              <w:left w:val="nil"/>
              <w:bottom w:val="nil"/>
              <w:right w:val="nil"/>
            </w:tcBorders>
            <w:shd w:val="clear" w:color="auto" w:fill="FFFFFF"/>
            <w:noWrap/>
            <w:vAlign w:val="center"/>
          </w:tcPr>
          <w:p w14:paraId="13698B3F"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PC2</w:t>
            </w:r>
          </w:p>
        </w:tc>
        <w:tc>
          <w:tcPr>
            <w:tcW w:w="594" w:type="pct"/>
            <w:tcBorders>
              <w:top w:val="nil"/>
              <w:left w:val="nil"/>
              <w:bottom w:val="nil"/>
              <w:right w:val="nil"/>
            </w:tcBorders>
            <w:shd w:val="clear" w:color="auto" w:fill="FFFFFF"/>
            <w:noWrap/>
            <w:vAlign w:val="center"/>
          </w:tcPr>
          <w:p w14:paraId="530F9A4C"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&lt;---</w:t>
            </w:r>
          </w:p>
        </w:tc>
        <w:tc>
          <w:tcPr>
            <w:tcW w:w="1954" w:type="pct"/>
            <w:tcBorders>
              <w:top w:val="nil"/>
              <w:left w:val="nil"/>
              <w:bottom w:val="nil"/>
              <w:right w:val="nil"/>
            </w:tcBorders>
            <w:shd w:val="clear" w:color="auto" w:fill="FFFFFF"/>
            <w:vAlign w:val="center"/>
          </w:tcPr>
          <w:p w14:paraId="189F281C"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Psychological Contract</w:t>
            </w:r>
          </w:p>
        </w:tc>
        <w:tc>
          <w:tcPr>
            <w:tcW w:w="695" w:type="pct"/>
            <w:tcBorders>
              <w:top w:val="nil"/>
              <w:left w:val="nil"/>
              <w:bottom w:val="nil"/>
              <w:right w:val="nil"/>
            </w:tcBorders>
            <w:shd w:val="clear" w:color="auto" w:fill="FFFFFF"/>
            <w:vAlign w:val="center"/>
          </w:tcPr>
          <w:p w14:paraId="2CD26D20"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0.791</w:t>
            </w:r>
          </w:p>
        </w:tc>
        <w:tc>
          <w:tcPr>
            <w:tcW w:w="1005" w:type="dxa"/>
            <w:tcBorders>
              <w:top w:val="nil"/>
              <w:left w:val="nil"/>
              <w:bottom w:val="nil"/>
              <w:right w:val="nil"/>
            </w:tcBorders>
            <w:shd w:val="clear" w:color="auto" w:fill="FFFFFF"/>
            <w:vAlign w:val="center"/>
          </w:tcPr>
          <w:p w14:paraId="1FB12BE2" w14:textId="77777777" w:rsidR="00147AD9" w:rsidRDefault="00147AD9">
            <w:pPr>
              <w:jc w:val="center"/>
              <w:rPr>
                <w:rFonts w:ascii="Times New Roman" w:eastAsia="宋体" w:hAnsi="Times New Roman" w:cs="Times New Roman"/>
                <w:color w:val="000000"/>
                <w:sz w:val="22"/>
                <w:szCs w:val="22"/>
              </w:rPr>
            </w:pPr>
          </w:p>
        </w:tc>
        <w:tc>
          <w:tcPr>
            <w:tcW w:w="537" w:type="pct"/>
            <w:tcBorders>
              <w:top w:val="nil"/>
              <w:left w:val="nil"/>
              <w:bottom w:val="nil"/>
              <w:right w:val="nil"/>
            </w:tcBorders>
            <w:shd w:val="clear" w:color="auto" w:fill="FFFFFF"/>
            <w:vAlign w:val="center"/>
          </w:tcPr>
          <w:p w14:paraId="6AED4CF9" w14:textId="77777777" w:rsidR="00147AD9" w:rsidRDefault="00147AD9">
            <w:pPr>
              <w:jc w:val="center"/>
              <w:rPr>
                <w:rFonts w:ascii="Times New Roman" w:eastAsia="宋体" w:hAnsi="Times New Roman" w:cs="Times New Roman"/>
                <w:color w:val="000000"/>
                <w:sz w:val="22"/>
                <w:szCs w:val="22"/>
              </w:rPr>
            </w:pPr>
          </w:p>
        </w:tc>
      </w:tr>
      <w:tr w:rsidR="00147AD9" w14:paraId="2A442709" w14:textId="77777777">
        <w:trPr>
          <w:trHeight w:val="300"/>
        </w:trPr>
        <w:tc>
          <w:tcPr>
            <w:tcW w:w="628" w:type="pct"/>
            <w:tcBorders>
              <w:top w:val="nil"/>
              <w:left w:val="nil"/>
              <w:bottom w:val="nil"/>
              <w:right w:val="nil"/>
            </w:tcBorders>
            <w:shd w:val="clear" w:color="auto" w:fill="FFFFFF"/>
            <w:noWrap/>
            <w:vAlign w:val="center"/>
          </w:tcPr>
          <w:p w14:paraId="4B97B9B6"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PC1</w:t>
            </w:r>
          </w:p>
        </w:tc>
        <w:tc>
          <w:tcPr>
            <w:tcW w:w="594" w:type="pct"/>
            <w:tcBorders>
              <w:top w:val="nil"/>
              <w:left w:val="nil"/>
              <w:bottom w:val="nil"/>
              <w:right w:val="nil"/>
            </w:tcBorders>
            <w:shd w:val="clear" w:color="auto" w:fill="FFFFFF"/>
            <w:noWrap/>
            <w:vAlign w:val="center"/>
          </w:tcPr>
          <w:p w14:paraId="16BC6B36"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&lt;---</w:t>
            </w:r>
          </w:p>
        </w:tc>
        <w:tc>
          <w:tcPr>
            <w:tcW w:w="1954" w:type="pct"/>
            <w:tcBorders>
              <w:top w:val="nil"/>
              <w:left w:val="nil"/>
              <w:bottom w:val="nil"/>
              <w:right w:val="nil"/>
            </w:tcBorders>
            <w:shd w:val="clear" w:color="auto" w:fill="FFFFFF"/>
            <w:vAlign w:val="center"/>
          </w:tcPr>
          <w:p w14:paraId="5569C644"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Psychological Contract</w:t>
            </w:r>
          </w:p>
        </w:tc>
        <w:tc>
          <w:tcPr>
            <w:tcW w:w="695" w:type="pct"/>
            <w:tcBorders>
              <w:top w:val="nil"/>
              <w:left w:val="nil"/>
              <w:bottom w:val="nil"/>
              <w:right w:val="nil"/>
            </w:tcBorders>
            <w:shd w:val="clear" w:color="auto" w:fill="FFFFFF"/>
            <w:vAlign w:val="center"/>
          </w:tcPr>
          <w:p w14:paraId="55E7FBC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0.753</w:t>
            </w:r>
          </w:p>
        </w:tc>
        <w:tc>
          <w:tcPr>
            <w:tcW w:w="1005" w:type="dxa"/>
            <w:tcBorders>
              <w:top w:val="nil"/>
              <w:left w:val="nil"/>
              <w:bottom w:val="nil"/>
              <w:right w:val="nil"/>
            </w:tcBorders>
            <w:shd w:val="clear" w:color="auto" w:fill="FFFFFF"/>
            <w:vAlign w:val="center"/>
          </w:tcPr>
          <w:p w14:paraId="3FB2589B" w14:textId="77777777" w:rsidR="00147AD9" w:rsidRDefault="00147AD9">
            <w:pPr>
              <w:jc w:val="center"/>
              <w:rPr>
                <w:rFonts w:ascii="Times New Roman" w:eastAsia="宋体" w:hAnsi="Times New Roman" w:cs="Times New Roman"/>
                <w:color w:val="000000"/>
                <w:sz w:val="22"/>
                <w:szCs w:val="22"/>
              </w:rPr>
            </w:pPr>
          </w:p>
        </w:tc>
        <w:tc>
          <w:tcPr>
            <w:tcW w:w="537" w:type="pct"/>
            <w:tcBorders>
              <w:top w:val="nil"/>
              <w:left w:val="nil"/>
              <w:bottom w:val="nil"/>
              <w:right w:val="nil"/>
            </w:tcBorders>
            <w:shd w:val="clear" w:color="auto" w:fill="FFFFFF"/>
            <w:vAlign w:val="center"/>
          </w:tcPr>
          <w:p w14:paraId="37FE1A4F" w14:textId="77777777" w:rsidR="00147AD9" w:rsidRDefault="00147AD9">
            <w:pPr>
              <w:jc w:val="center"/>
              <w:rPr>
                <w:rFonts w:ascii="Times New Roman" w:eastAsia="宋体" w:hAnsi="Times New Roman" w:cs="Times New Roman"/>
                <w:color w:val="000000"/>
                <w:sz w:val="22"/>
                <w:szCs w:val="22"/>
              </w:rPr>
            </w:pPr>
          </w:p>
        </w:tc>
      </w:tr>
      <w:tr w:rsidR="00147AD9" w14:paraId="4EDC201D" w14:textId="77777777">
        <w:trPr>
          <w:trHeight w:val="300"/>
        </w:trPr>
        <w:tc>
          <w:tcPr>
            <w:tcW w:w="628" w:type="pct"/>
            <w:tcBorders>
              <w:top w:val="nil"/>
              <w:left w:val="nil"/>
              <w:bottom w:val="nil"/>
              <w:right w:val="nil"/>
            </w:tcBorders>
            <w:shd w:val="clear" w:color="auto" w:fill="FFFFFF"/>
            <w:noWrap/>
            <w:vAlign w:val="center"/>
          </w:tcPr>
          <w:p w14:paraId="139A520C"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EGB4</w:t>
            </w:r>
          </w:p>
        </w:tc>
        <w:tc>
          <w:tcPr>
            <w:tcW w:w="594" w:type="pct"/>
            <w:tcBorders>
              <w:top w:val="nil"/>
              <w:left w:val="nil"/>
              <w:bottom w:val="nil"/>
              <w:right w:val="nil"/>
            </w:tcBorders>
            <w:shd w:val="clear" w:color="auto" w:fill="FFFFFF"/>
            <w:noWrap/>
            <w:vAlign w:val="center"/>
          </w:tcPr>
          <w:p w14:paraId="224A5EAB"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&lt;---</w:t>
            </w:r>
          </w:p>
        </w:tc>
        <w:tc>
          <w:tcPr>
            <w:tcW w:w="1954" w:type="pct"/>
            <w:tcBorders>
              <w:top w:val="nil"/>
              <w:left w:val="nil"/>
              <w:bottom w:val="nil"/>
              <w:right w:val="nil"/>
            </w:tcBorders>
            <w:shd w:val="clear" w:color="auto" w:fill="FFFFFF"/>
            <w:vAlign w:val="center"/>
          </w:tcPr>
          <w:p w14:paraId="1A1E847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Employee Green Behavior</w:t>
            </w:r>
          </w:p>
        </w:tc>
        <w:tc>
          <w:tcPr>
            <w:tcW w:w="695" w:type="pct"/>
            <w:tcBorders>
              <w:top w:val="nil"/>
              <w:left w:val="nil"/>
              <w:bottom w:val="nil"/>
              <w:right w:val="nil"/>
            </w:tcBorders>
            <w:shd w:val="clear" w:color="auto" w:fill="FFFFFF"/>
            <w:vAlign w:val="center"/>
          </w:tcPr>
          <w:p w14:paraId="1FCC8181"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0.751</w:t>
            </w:r>
          </w:p>
        </w:tc>
        <w:tc>
          <w:tcPr>
            <w:tcW w:w="1005" w:type="dxa"/>
            <w:tcBorders>
              <w:top w:val="nil"/>
              <w:left w:val="nil"/>
              <w:bottom w:val="nil"/>
              <w:right w:val="nil"/>
            </w:tcBorders>
            <w:shd w:val="clear" w:color="auto" w:fill="FFFFFF"/>
            <w:vAlign w:val="center"/>
          </w:tcPr>
          <w:p w14:paraId="0390F52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0.865</w:t>
            </w:r>
          </w:p>
        </w:tc>
        <w:tc>
          <w:tcPr>
            <w:tcW w:w="537" w:type="pct"/>
            <w:tcBorders>
              <w:top w:val="nil"/>
              <w:left w:val="nil"/>
              <w:bottom w:val="nil"/>
              <w:right w:val="nil"/>
            </w:tcBorders>
            <w:shd w:val="clear" w:color="auto" w:fill="FFFFFF"/>
            <w:vAlign w:val="center"/>
          </w:tcPr>
          <w:p w14:paraId="6B1990F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rPr>
              <w:t>0.615</w:t>
            </w:r>
          </w:p>
        </w:tc>
      </w:tr>
      <w:tr w:rsidR="00147AD9" w14:paraId="4A722F35" w14:textId="77777777">
        <w:trPr>
          <w:trHeight w:val="300"/>
        </w:trPr>
        <w:tc>
          <w:tcPr>
            <w:tcW w:w="628" w:type="pct"/>
            <w:tcBorders>
              <w:top w:val="nil"/>
              <w:left w:val="nil"/>
              <w:bottom w:val="nil"/>
              <w:right w:val="nil"/>
            </w:tcBorders>
            <w:shd w:val="clear" w:color="auto" w:fill="FFFFFF"/>
            <w:noWrap/>
            <w:vAlign w:val="center"/>
          </w:tcPr>
          <w:p w14:paraId="6DC8C915"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EGB3</w:t>
            </w:r>
          </w:p>
        </w:tc>
        <w:tc>
          <w:tcPr>
            <w:tcW w:w="594" w:type="pct"/>
            <w:tcBorders>
              <w:top w:val="nil"/>
              <w:left w:val="nil"/>
              <w:bottom w:val="nil"/>
              <w:right w:val="nil"/>
            </w:tcBorders>
            <w:shd w:val="clear" w:color="auto" w:fill="FFFFFF"/>
            <w:noWrap/>
            <w:vAlign w:val="center"/>
          </w:tcPr>
          <w:p w14:paraId="4AD70E95"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&lt;---</w:t>
            </w:r>
          </w:p>
        </w:tc>
        <w:tc>
          <w:tcPr>
            <w:tcW w:w="1954" w:type="pct"/>
            <w:tcBorders>
              <w:top w:val="nil"/>
              <w:left w:val="nil"/>
              <w:bottom w:val="nil"/>
              <w:right w:val="nil"/>
            </w:tcBorders>
            <w:shd w:val="clear" w:color="auto" w:fill="FFFFFF"/>
            <w:vAlign w:val="center"/>
          </w:tcPr>
          <w:p w14:paraId="37574FF5"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Employee Green Behavior</w:t>
            </w:r>
          </w:p>
        </w:tc>
        <w:tc>
          <w:tcPr>
            <w:tcW w:w="695" w:type="pct"/>
            <w:tcBorders>
              <w:top w:val="nil"/>
              <w:left w:val="nil"/>
              <w:bottom w:val="nil"/>
              <w:right w:val="nil"/>
            </w:tcBorders>
            <w:shd w:val="clear" w:color="auto" w:fill="FFFFFF"/>
            <w:vAlign w:val="center"/>
          </w:tcPr>
          <w:p w14:paraId="2BA33E1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0.823</w:t>
            </w:r>
          </w:p>
        </w:tc>
        <w:tc>
          <w:tcPr>
            <w:tcW w:w="1005" w:type="dxa"/>
            <w:tcBorders>
              <w:top w:val="nil"/>
              <w:left w:val="nil"/>
              <w:bottom w:val="nil"/>
              <w:right w:val="nil"/>
            </w:tcBorders>
            <w:shd w:val="clear" w:color="auto" w:fill="FFFFFF"/>
            <w:vAlign w:val="center"/>
          </w:tcPr>
          <w:p w14:paraId="3091311A" w14:textId="77777777" w:rsidR="00147AD9" w:rsidRDefault="00147AD9">
            <w:pPr>
              <w:jc w:val="center"/>
              <w:rPr>
                <w:rFonts w:ascii="Times New Roman" w:eastAsia="宋体" w:hAnsi="Times New Roman" w:cs="Times New Roman"/>
                <w:color w:val="000000"/>
                <w:sz w:val="22"/>
                <w:szCs w:val="22"/>
              </w:rPr>
            </w:pPr>
          </w:p>
        </w:tc>
        <w:tc>
          <w:tcPr>
            <w:tcW w:w="537" w:type="pct"/>
            <w:tcBorders>
              <w:top w:val="nil"/>
              <w:left w:val="nil"/>
              <w:bottom w:val="nil"/>
              <w:right w:val="nil"/>
            </w:tcBorders>
            <w:shd w:val="clear" w:color="auto" w:fill="FFFFFF"/>
            <w:vAlign w:val="center"/>
          </w:tcPr>
          <w:p w14:paraId="4D156FE3" w14:textId="77777777" w:rsidR="00147AD9" w:rsidRDefault="00147AD9">
            <w:pPr>
              <w:jc w:val="center"/>
              <w:rPr>
                <w:rFonts w:ascii="Times New Roman" w:eastAsia="宋体" w:hAnsi="Times New Roman" w:cs="Times New Roman"/>
                <w:color w:val="000000"/>
                <w:sz w:val="22"/>
                <w:szCs w:val="22"/>
              </w:rPr>
            </w:pPr>
          </w:p>
        </w:tc>
      </w:tr>
      <w:tr w:rsidR="00147AD9" w14:paraId="1014CADA" w14:textId="77777777">
        <w:trPr>
          <w:trHeight w:val="300"/>
        </w:trPr>
        <w:tc>
          <w:tcPr>
            <w:tcW w:w="628" w:type="pct"/>
            <w:tcBorders>
              <w:top w:val="nil"/>
              <w:left w:val="nil"/>
              <w:bottom w:val="nil"/>
              <w:right w:val="nil"/>
            </w:tcBorders>
            <w:shd w:val="clear" w:color="auto" w:fill="FFFFFF"/>
            <w:noWrap/>
            <w:vAlign w:val="center"/>
          </w:tcPr>
          <w:p w14:paraId="1989D2A2"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EGB2</w:t>
            </w:r>
          </w:p>
        </w:tc>
        <w:tc>
          <w:tcPr>
            <w:tcW w:w="594" w:type="pct"/>
            <w:tcBorders>
              <w:top w:val="nil"/>
              <w:left w:val="nil"/>
              <w:bottom w:val="nil"/>
              <w:right w:val="nil"/>
            </w:tcBorders>
            <w:shd w:val="clear" w:color="auto" w:fill="FFFFFF"/>
            <w:noWrap/>
            <w:vAlign w:val="center"/>
          </w:tcPr>
          <w:p w14:paraId="5762442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&lt;---</w:t>
            </w:r>
          </w:p>
        </w:tc>
        <w:tc>
          <w:tcPr>
            <w:tcW w:w="1954" w:type="pct"/>
            <w:tcBorders>
              <w:top w:val="nil"/>
              <w:left w:val="nil"/>
              <w:bottom w:val="nil"/>
              <w:right w:val="nil"/>
            </w:tcBorders>
            <w:shd w:val="clear" w:color="auto" w:fill="FFFFFF"/>
            <w:vAlign w:val="center"/>
          </w:tcPr>
          <w:p w14:paraId="6FDE5C72"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Employee Green Behavior</w:t>
            </w:r>
          </w:p>
        </w:tc>
        <w:tc>
          <w:tcPr>
            <w:tcW w:w="695" w:type="pct"/>
            <w:tcBorders>
              <w:top w:val="nil"/>
              <w:left w:val="nil"/>
              <w:bottom w:val="nil"/>
              <w:right w:val="nil"/>
            </w:tcBorders>
            <w:shd w:val="clear" w:color="auto" w:fill="FFFFFF"/>
            <w:vAlign w:val="center"/>
          </w:tcPr>
          <w:p w14:paraId="408D630C"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0.774</w:t>
            </w:r>
          </w:p>
        </w:tc>
        <w:tc>
          <w:tcPr>
            <w:tcW w:w="1005" w:type="dxa"/>
            <w:tcBorders>
              <w:top w:val="nil"/>
              <w:left w:val="nil"/>
              <w:bottom w:val="nil"/>
              <w:right w:val="nil"/>
            </w:tcBorders>
            <w:shd w:val="clear" w:color="auto" w:fill="FFFFFF"/>
            <w:vAlign w:val="center"/>
          </w:tcPr>
          <w:p w14:paraId="0B1D90EA" w14:textId="77777777" w:rsidR="00147AD9" w:rsidRDefault="00147AD9">
            <w:pPr>
              <w:jc w:val="center"/>
              <w:rPr>
                <w:rFonts w:ascii="Times New Roman" w:eastAsia="宋体" w:hAnsi="Times New Roman" w:cs="Times New Roman"/>
                <w:color w:val="000000"/>
                <w:sz w:val="22"/>
                <w:szCs w:val="22"/>
              </w:rPr>
            </w:pPr>
          </w:p>
        </w:tc>
        <w:tc>
          <w:tcPr>
            <w:tcW w:w="537" w:type="pct"/>
            <w:tcBorders>
              <w:top w:val="nil"/>
              <w:left w:val="nil"/>
              <w:bottom w:val="nil"/>
              <w:right w:val="nil"/>
            </w:tcBorders>
            <w:shd w:val="clear" w:color="auto" w:fill="FFFFFF"/>
            <w:vAlign w:val="center"/>
          </w:tcPr>
          <w:p w14:paraId="084D146A" w14:textId="77777777" w:rsidR="00147AD9" w:rsidRDefault="00147AD9">
            <w:pPr>
              <w:jc w:val="center"/>
              <w:rPr>
                <w:rFonts w:ascii="Times New Roman" w:eastAsia="宋体" w:hAnsi="Times New Roman" w:cs="Times New Roman"/>
                <w:color w:val="000000"/>
                <w:sz w:val="22"/>
                <w:szCs w:val="22"/>
              </w:rPr>
            </w:pPr>
          </w:p>
        </w:tc>
      </w:tr>
      <w:tr w:rsidR="00147AD9" w14:paraId="3A8C609D" w14:textId="77777777">
        <w:trPr>
          <w:trHeight w:val="377"/>
        </w:trPr>
        <w:tc>
          <w:tcPr>
            <w:tcW w:w="628" w:type="pct"/>
            <w:tcBorders>
              <w:top w:val="nil"/>
              <w:left w:val="nil"/>
              <w:bottom w:val="nil"/>
              <w:right w:val="nil"/>
            </w:tcBorders>
            <w:shd w:val="clear" w:color="auto" w:fill="FFFFFF"/>
            <w:noWrap/>
            <w:vAlign w:val="center"/>
          </w:tcPr>
          <w:p w14:paraId="08B6C459"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 xml:space="preserve">EGB1 </w:t>
            </w:r>
          </w:p>
        </w:tc>
        <w:tc>
          <w:tcPr>
            <w:tcW w:w="594" w:type="pct"/>
            <w:tcBorders>
              <w:top w:val="nil"/>
              <w:left w:val="nil"/>
              <w:bottom w:val="nil"/>
              <w:right w:val="nil"/>
            </w:tcBorders>
            <w:shd w:val="clear" w:color="auto" w:fill="FFFFFF"/>
            <w:noWrap/>
            <w:vAlign w:val="center"/>
          </w:tcPr>
          <w:p w14:paraId="669731D1"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&lt;---</w:t>
            </w:r>
          </w:p>
        </w:tc>
        <w:tc>
          <w:tcPr>
            <w:tcW w:w="1954" w:type="pct"/>
            <w:tcBorders>
              <w:top w:val="nil"/>
              <w:left w:val="nil"/>
              <w:bottom w:val="nil"/>
              <w:right w:val="nil"/>
            </w:tcBorders>
            <w:shd w:val="clear" w:color="auto" w:fill="FFFFFF"/>
            <w:vAlign w:val="center"/>
          </w:tcPr>
          <w:p w14:paraId="515F1490"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Employee Green Behavior</w:t>
            </w:r>
          </w:p>
        </w:tc>
        <w:tc>
          <w:tcPr>
            <w:tcW w:w="695" w:type="pct"/>
            <w:tcBorders>
              <w:top w:val="nil"/>
              <w:left w:val="nil"/>
              <w:bottom w:val="nil"/>
              <w:right w:val="nil"/>
            </w:tcBorders>
            <w:shd w:val="clear" w:color="auto" w:fill="FFFFFF"/>
            <w:vAlign w:val="center"/>
          </w:tcPr>
          <w:p w14:paraId="47A4B8E5"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0.787</w:t>
            </w:r>
          </w:p>
        </w:tc>
        <w:tc>
          <w:tcPr>
            <w:tcW w:w="1005" w:type="dxa"/>
            <w:tcBorders>
              <w:top w:val="nil"/>
              <w:left w:val="nil"/>
              <w:bottom w:val="nil"/>
              <w:right w:val="nil"/>
            </w:tcBorders>
            <w:shd w:val="clear" w:color="auto" w:fill="FFFFFF"/>
            <w:vAlign w:val="center"/>
          </w:tcPr>
          <w:p w14:paraId="15560834" w14:textId="77777777" w:rsidR="00147AD9" w:rsidRDefault="00147AD9">
            <w:pPr>
              <w:jc w:val="center"/>
              <w:rPr>
                <w:rFonts w:ascii="Times New Roman" w:eastAsia="宋体" w:hAnsi="Times New Roman" w:cs="Times New Roman"/>
                <w:color w:val="000000"/>
                <w:sz w:val="22"/>
                <w:szCs w:val="22"/>
              </w:rPr>
            </w:pPr>
          </w:p>
        </w:tc>
        <w:tc>
          <w:tcPr>
            <w:tcW w:w="537" w:type="pct"/>
            <w:tcBorders>
              <w:top w:val="nil"/>
              <w:left w:val="nil"/>
              <w:bottom w:val="nil"/>
              <w:right w:val="nil"/>
            </w:tcBorders>
            <w:shd w:val="clear" w:color="auto" w:fill="FFFFFF"/>
            <w:vAlign w:val="center"/>
          </w:tcPr>
          <w:p w14:paraId="208572A8" w14:textId="77777777" w:rsidR="00147AD9" w:rsidRDefault="00147AD9">
            <w:pPr>
              <w:jc w:val="center"/>
              <w:rPr>
                <w:rFonts w:ascii="Times New Roman" w:eastAsia="宋体" w:hAnsi="Times New Roman" w:cs="Times New Roman"/>
                <w:color w:val="000000"/>
                <w:sz w:val="22"/>
                <w:szCs w:val="22"/>
              </w:rPr>
            </w:pPr>
          </w:p>
        </w:tc>
      </w:tr>
      <w:tr w:rsidR="00147AD9" w14:paraId="0480AC64" w14:textId="77777777">
        <w:trPr>
          <w:trHeight w:val="300"/>
        </w:trPr>
        <w:tc>
          <w:tcPr>
            <w:tcW w:w="628" w:type="pct"/>
            <w:tcBorders>
              <w:top w:val="nil"/>
              <w:left w:val="nil"/>
              <w:bottom w:val="nil"/>
              <w:right w:val="nil"/>
            </w:tcBorders>
            <w:shd w:val="clear" w:color="auto" w:fill="FFFFFF"/>
            <w:noWrap/>
            <w:vAlign w:val="center"/>
          </w:tcPr>
          <w:p w14:paraId="366328C0"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POS4</w:t>
            </w:r>
          </w:p>
        </w:tc>
        <w:tc>
          <w:tcPr>
            <w:tcW w:w="594" w:type="pct"/>
            <w:tcBorders>
              <w:top w:val="nil"/>
              <w:left w:val="nil"/>
              <w:bottom w:val="nil"/>
              <w:right w:val="nil"/>
            </w:tcBorders>
            <w:shd w:val="clear" w:color="auto" w:fill="FFFFFF"/>
            <w:noWrap/>
            <w:vAlign w:val="center"/>
          </w:tcPr>
          <w:p w14:paraId="151F0CB1"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&lt;---</w:t>
            </w:r>
          </w:p>
        </w:tc>
        <w:tc>
          <w:tcPr>
            <w:tcW w:w="1954" w:type="pct"/>
            <w:tcBorders>
              <w:top w:val="nil"/>
              <w:left w:val="nil"/>
              <w:bottom w:val="nil"/>
              <w:right w:val="nil"/>
            </w:tcBorders>
            <w:shd w:val="clear" w:color="auto" w:fill="FFFFFF"/>
            <w:vAlign w:val="center"/>
          </w:tcPr>
          <w:p w14:paraId="6336ABF4"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Perceived Organizational Support</w:t>
            </w:r>
          </w:p>
        </w:tc>
        <w:tc>
          <w:tcPr>
            <w:tcW w:w="695" w:type="pct"/>
            <w:tcBorders>
              <w:top w:val="nil"/>
              <w:left w:val="nil"/>
              <w:bottom w:val="nil"/>
              <w:right w:val="nil"/>
            </w:tcBorders>
            <w:shd w:val="clear" w:color="auto" w:fill="FFFFFF"/>
            <w:vAlign w:val="center"/>
          </w:tcPr>
          <w:p w14:paraId="436F9EAF"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0.787</w:t>
            </w:r>
          </w:p>
        </w:tc>
        <w:tc>
          <w:tcPr>
            <w:tcW w:w="1005" w:type="dxa"/>
            <w:tcBorders>
              <w:top w:val="nil"/>
              <w:left w:val="nil"/>
              <w:bottom w:val="nil"/>
              <w:right w:val="nil"/>
            </w:tcBorders>
            <w:shd w:val="clear" w:color="auto" w:fill="FFFFFF"/>
            <w:vAlign w:val="center"/>
          </w:tcPr>
          <w:p w14:paraId="2C2780C2"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0.865</w:t>
            </w:r>
          </w:p>
        </w:tc>
        <w:tc>
          <w:tcPr>
            <w:tcW w:w="537" w:type="pct"/>
            <w:tcBorders>
              <w:top w:val="nil"/>
              <w:left w:val="nil"/>
              <w:bottom w:val="nil"/>
              <w:right w:val="nil"/>
            </w:tcBorders>
            <w:shd w:val="clear" w:color="auto" w:fill="FFFFFF"/>
            <w:vAlign w:val="center"/>
          </w:tcPr>
          <w:p w14:paraId="02835C8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rPr>
              <w:t>0.616</w:t>
            </w:r>
          </w:p>
        </w:tc>
      </w:tr>
      <w:tr w:rsidR="00147AD9" w14:paraId="4FC6F72D" w14:textId="77777777">
        <w:trPr>
          <w:trHeight w:val="300"/>
        </w:trPr>
        <w:tc>
          <w:tcPr>
            <w:tcW w:w="628" w:type="pct"/>
            <w:tcBorders>
              <w:top w:val="nil"/>
              <w:left w:val="nil"/>
              <w:bottom w:val="nil"/>
              <w:right w:val="nil"/>
            </w:tcBorders>
            <w:shd w:val="clear" w:color="auto" w:fill="FFFFFF"/>
            <w:noWrap/>
            <w:vAlign w:val="center"/>
          </w:tcPr>
          <w:p w14:paraId="57621E8B"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POS3</w:t>
            </w:r>
          </w:p>
        </w:tc>
        <w:tc>
          <w:tcPr>
            <w:tcW w:w="594" w:type="pct"/>
            <w:tcBorders>
              <w:top w:val="nil"/>
              <w:left w:val="nil"/>
              <w:bottom w:val="nil"/>
              <w:right w:val="nil"/>
            </w:tcBorders>
            <w:shd w:val="clear" w:color="auto" w:fill="FFFFFF"/>
            <w:noWrap/>
            <w:vAlign w:val="center"/>
          </w:tcPr>
          <w:p w14:paraId="6A3A9D64"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&lt;---</w:t>
            </w:r>
          </w:p>
        </w:tc>
        <w:tc>
          <w:tcPr>
            <w:tcW w:w="1954" w:type="pct"/>
            <w:tcBorders>
              <w:top w:val="nil"/>
              <w:left w:val="nil"/>
              <w:bottom w:val="nil"/>
              <w:right w:val="nil"/>
            </w:tcBorders>
            <w:shd w:val="clear" w:color="auto" w:fill="FFFFFF"/>
            <w:vAlign w:val="center"/>
          </w:tcPr>
          <w:p w14:paraId="65B4ED40"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Perceived Organizational Support</w:t>
            </w:r>
          </w:p>
        </w:tc>
        <w:tc>
          <w:tcPr>
            <w:tcW w:w="695" w:type="pct"/>
            <w:tcBorders>
              <w:top w:val="nil"/>
              <w:left w:val="nil"/>
              <w:bottom w:val="nil"/>
              <w:right w:val="nil"/>
            </w:tcBorders>
            <w:shd w:val="clear" w:color="auto" w:fill="FFFFFF"/>
            <w:vAlign w:val="center"/>
          </w:tcPr>
          <w:p w14:paraId="68FEADF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0.777</w:t>
            </w:r>
          </w:p>
        </w:tc>
        <w:tc>
          <w:tcPr>
            <w:tcW w:w="1005" w:type="dxa"/>
            <w:tcBorders>
              <w:top w:val="nil"/>
              <w:left w:val="nil"/>
              <w:bottom w:val="nil"/>
              <w:right w:val="nil"/>
            </w:tcBorders>
            <w:shd w:val="clear" w:color="auto" w:fill="FFFFFF"/>
            <w:vAlign w:val="center"/>
          </w:tcPr>
          <w:p w14:paraId="0D654815" w14:textId="77777777" w:rsidR="00147AD9" w:rsidRDefault="00147AD9">
            <w:pPr>
              <w:jc w:val="center"/>
              <w:rPr>
                <w:rFonts w:ascii="Times New Roman" w:eastAsia="宋体" w:hAnsi="Times New Roman" w:cs="Times New Roman"/>
                <w:color w:val="000000"/>
                <w:sz w:val="22"/>
                <w:szCs w:val="22"/>
              </w:rPr>
            </w:pPr>
          </w:p>
        </w:tc>
        <w:tc>
          <w:tcPr>
            <w:tcW w:w="537" w:type="pct"/>
            <w:tcBorders>
              <w:top w:val="nil"/>
              <w:left w:val="nil"/>
              <w:bottom w:val="nil"/>
              <w:right w:val="nil"/>
            </w:tcBorders>
            <w:shd w:val="clear" w:color="auto" w:fill="FFFFFF"/>
            <w:vAlign w:val="center"/>
          </w:tcPr>
          <w:p w14:paraId="018B1590" w14:textId="77777777" w:rsidR="00147AD9" w:rsidRDefault="00147AD9">
            <w:pPr>
              <w:jc w:val="center"/>
              <w:rPr>
                <w:rFonts w:ascii="Times New Roman" w:eastAsia="宋体" w:hAnsi="Times New Roman" w:cs="Times New Roman"/>
                <w:color w:val="000000"/>
                <w:sz w:val="22"/>
                <w:szCs w:val="22"/>
              </w:rPr>
            </w:pPr>
          </w:p>
        </w:tc>
      </w:tr>
      <w:tr w:rsidR="00147AD9" w14:paraId="16F749E6" w14:textId="77777777">
        <w:trPr>
          <w:trHeight w:val="300"/>
        </w:trPr>
        <w:tc>
          <w:tcPr>
            <w:tcW w:w="628" w:type="pct"/>
            <w:tcBorders>
              <w:top w:val="nil"/>
              <w:left w:val="nil"/>
              <w:bottom w:val="nil"/>
              <w:right w:val="nil"/>
            </w:tcBorders>
            <w:shd w:val="clear" w:color="auto" w:fill="FFFFFF"/>
            <w:noWrap/>
            <w:vAlign w:val="center"/>
          </w:tcPr>
          <w:p w14:paraId="1F05463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POS2</w:t>
            </w:r>
          </w:p>
        </w:tc>
        <w:tc>
          <w:tcPr>
            <w:tcW w:w="594" w:type="pct"/>
            <w:tcBorders>
              <w:top w:val="nil"/>
              <w:left w:val="nil"/>
              <w:bottom w:val="nil"/>
              <w:right w:val="nil"/>
            </w:tcBorders>
            <w:shd w:val="clear" w:color="auto" w:fill="FFFFFF"/>
            <w:noWrap/>
            <w:vAlign w:val="center"/>
          </w:tcPr>
          <w:p w14:paraId="2863EBF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&lt;---</w:t>
            </w:r>
          </w:p>
        </w:tc>
        <w:tc>
          <w:tcPr>
            <w:tcW w:w="1954" w:type="pct"/>
            <w:tcBorders>
              <w:top w:val="nil"/>
              <w:left w:val="nil"/>
              <w:bottom w:val="nil"/>
              <w:right w:val="nil"/>
            </w:tcBorders>
            <w:shd w:val="clear" w:color="auto" w:fill="FFFFFF"/>
            <w:vAlign w:val="center"/>
          </w:tcPr>
          <w:p w14:paraId="1C5F8AB1"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Perceived Organizational Support</w:t>
            </w:r>
          </w:p>
        </w:tc>
        <w:tc>
          <w:tcPr>
            <w:tcW w:w="695" w:type="pct"/>
            <w:tcBorders>
              <w:top w:val="nil"/>
              <w:left w:val="nil"/>
              <w:bottom w:val="nil"/>
              <w:right w:val="nil"/>
            </w:tcBorders>
            <w:shd w:val="clear" w:color="auto" w:fill="FFFFFF"/>
            <w:vAlign w:val="center"/>
          </w:tcPr>
          <w:p w14:paraId="185871BC"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0.769</w:t>
            </w:r>
          </w:p>
        </w:tc>
        <w:tc>
          <w:tcPr>
            <w:tcW w:w="1005" w:type="dxa"/>
            <w:tcBorders>
              <w:top w:val="nil"/>
              <w:left w:val="nil"/>
              <w:bottom w:val="nil"/>
              <w:right w:val="nil"/>
            </w:tcBorders>
            <w:shd w:val="clear" w:color="auto" w:fill="FFFFFF"/>
            <w:vAlign w:val="center"/>
          </w:tcPr>
          <w:p w14:paraId="140FED13" w14:textId="77777777" w:rsidR="00147AD9" w:rsidRDefault="00147AD9">
            <w:pPr>
              <w:jc w:val="center"/>
              <w:rPr>
                <w:rFonts w:ascii="Times New Roman" w:eastAsia="宋体" w:hAnsi="Times New Roman" w:cs="Times New Roman"/>
                <w:color w:val="000000"/>
                <w:sz w:val="22"/>
                <w:szCs w:val="22"/>
              </w:rPr>
            </w:pPr>
          </w:p>
        </w:tc>
        <w:tc>
          <w:tcPr>
            <w:tcW w:w="537" w:type="pct"/>
            <w:tcBorders>
              <w:top w:val="nil"/>
              <w:left w:val="nil"/>
              <w:bottom w:val="nil"/>
              <w:right w:val="nil"/>
            </w:tcBorders>
            <w:shd w:val="clear" w:color="auto" w:fill="FFFFFF"/>
            <w:vAlign w:val="center"/>
          </w:tcPr>
          <w:p w14:paraId="4206B916" w14:textId="77777777" w:rsidR="00147AD9" w:rsidRDefault="00147AD9">
            <w:pPr>
              <w:jc w:val="center"/>
              <w:rPr>
                <w:rFonts w:ascii="Times New Roman" w:eastAsia="宋体" w:hAnsi="Times New Roman" w:cs="Times New Roman"/>
                <w:color w:val="000000"/>
                <w:sz w:val="22"/>
                <w:szCs w:val="22"/>
              </w:rPr>
            </w:pPr>
          </w:p>
        </w:tc>
      </w:tr>
      <w:tr w:rsidR="00147AD9" w14:paraId="43321D26" w14:textId="77777777">
        <w:trPr>
          <w:trHeight w:val="300"/>
        </w:trPr>
        <w:tc>
          <w:tcPr>
            <w:tcW w:w="628" w:type="pct"/>
            <w:tcBorders>
              <w:top w:val="nil"/>
              <w:left w:val="nil"/>
              <w:bottom w:val="single" w:sz="12" w:space="0" w:color="000000"/>
              <w:right w:val="nil"/>
            </w:tcBorders>
            <w:shd w:val="clear" w:color="auto" w:fill="FFFFFF"/>
            <w:noWrap/>
            <w:vAlign w:val="center"/>
          </w:tcPr>
          <w:p w14:paraId="27DACC4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POS1</w:t>
            </w:r>
          </w:p>
        </w:tc>
        <w:tc>
          <w:tcPr>
            <w:tcW w:w="594" w:type="pct"/>
            <w:tcBorders>
              <w:top w:val="nil"/>
              <w:left w:val="nil"/>
              <w:bottom w:val="single" w:sz="12" w:space="0" w:color="000000"/>
              <w:right w:val="nil"/>
            </w:tcBorders>
            <w:shd w:val="clear" w:color="auto" w:fill="FFFFFF"/>
            <w:noWrap/>
            <w:vAlign w:val="center"/>
          </w:tcPr>
          <w:p w14:paraId="0FDBA3D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&lt;---</w:t>
            </w:r>
          </w:p>
        </w:tc>
        <w:tc>
          <w:tcPr>
            <w:tcW w:w="1954" w:type="pct"/>
            <w:tcBorders>
              <w:top w:val="nil"/>
              <w:left w:val="nil"/>
              <w:bottom w:val="single" w:sz="12" w:space="0" w:color="000000"/>
              <w:right w:val="nil"/>
            </w:tcBorders>
            <w:shd w:val="clear" w:color="auto" w:fill="FFFFFF"/>
            <w:vAlign w:val="center"/>
          </w:tcPr>
          <w:p w14:paraId="78289BEF"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Perceived Organizational Support</w:t>
            </w:r>
          </w:p>
        </w:tc>
        <w:tc>
          <w:tcPr>
            <w:tcW w:w="695" w:type="pct"/>
            <w:tcBorders>
              <w:top w:val="nil"/>
              <w:left w:val="nil"/>
              <w:bottom w:val="single" w:sz="12" w:space="0" w:color="000000"/>
              <w:right w:val="nil"/>
            </w:tcBorders>
            <w:shd w:val="clear" w:color="auto" w:fill="FFFFFF"/>
            <w:vAlign w:val="center"/>
          </w:tcPr>
          <w:p w14:paraId="48F3083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0.804</w:t>
            </w:r>
          </w:p>
        </w:tc>
        <w:tc>
          <w:tcPr>
            <w:tcW w:w="1005" w:type="dxa"/>
            <w:tcBorders>
              <w:top w:val="nil"/>
              <w:left w:val="nil"/>
              <w:bottom w:val="single" w:sz="12" w:space="0" w:color="000000"/>
              <w:right w:val="nil"/>
            </w:tcBorders>
            <w:shd w:val="clear" w:color="auto" w:fill="FFFFFF"/>
            <w:vAlign w:val="center"/>
          </w:tcPr>
          <w:p w14:paraId="2E8E676B" w14:textId="77777777" w:rsidR="00147AD9" w:rsidRDefault="00147AD9">
            <w:pPr>
              <w:jc w:val="center"/>
              <w:rPr>
                <w:rFonts w:ascii="Times New Roman" w:eastAsia="宋体" w:hAnsi="Times New Roman" w:cs="Times New Roman"/>
                <w:color w:val="000000"/>
                <w:sz w:val="22"/>
                <w:szCs w:val="22"/>
              </w:rPr>
            </w:pPr>
          </w:p>
        </w:tc>
        <w:tc>
          <w:tcPr>
            <w:tcW w:w="537" w:type="pct"/>
            <w:tcBorders>
              <w:top w:val="nil"/>
              <w:left w:val="nil"/>
              <w:bottom w:val="single" w:sz="12" w:space="0" w:color="000000"/>
              <w:right w:val="nil"/>
            </w:tcBorders>
            <w:shd w:val="clear" w:color="auto" w:fill="FFFFFF"/>
            <w:vAlign w:val="center"/>
          </w:tcPr>
          <w:p w14:paraId="28223403" w14:textId="77777777" w:rsidR="00147AD9" w:rsidRDefault="00147AD9">
            <w:pPr>
              <w:jc w:val="center"/>
              <w:rPr>
                <w:rFonts w:ascii="Times New Roman" w:eastAsia="宋体" w:hAnsi="Times New Roman" w:cs="Times New Roman"/>
                <w:color w:val="000000"/>
                <w:sz w:val="22"/>
                <w:szCs w:val="22"/>
              </w:rPr>
            </w:pPr>
          </w:p>
        </w:tc>
      </w:tr>
    </w:tbl>
    <w:p w14:paraId="74950E46" w14:textId="77777777" w:rsidR="00147AD9" w:rsidRDefault="00147AD9">
      <w:pPr>
        <w:rPr>
          <w:rFonts w:ascii="Times New Roman" w:eastAsia="方正大黑体_GBK" w:hAnsi="Times New Roman" w:cs="Times New Roman"/>
          <w:sz w:val="24"/>
        </w:rPr>
      </w:pPr>
    </w:p>
    <w:p w14:paraId="15517A9C"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In addition, the composite reliability (CR) values for all constructs are well above the recommended cutoff of 0.70, with values ranging from 0.857 to 0.87, thereby confirming the internal consistency and reliability of the scales employed (Rubel et al., 2025; Mirahsani et al., 2024). These results collectively provide compelling evidence for the convergent validity of the measurement model.</w:t>
      </w:r>
    </w:p>
    <w:p w14:paraId="71D96ACA"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4.3.2 Discriminant Validity</w:t>
      </w:r>
    </w:p>
    <w:p w14:paraId="3CE2C975"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Discriminant validity assesses the degree to which a construct is truly distinct from other constructs, both conceptually and empirically. As shown in Table 5, the square roots of the AVEs (diagonal elements) for all constructs are greater than their corresponding inter-construct correlation coefficients (off-diagonal elements), in accordance with the Fornell–Larcker criterion (Fornell &amp; Larcker, 1981). For example, the square root of the AVE for Corporate Green Culture (0.928) exceeds its correlations with GL (0.503), PC (0.417), EGB (0.433), and POS (0.518), confirming the empirical separability of the latent constructs.</w:t>
      </w:r>
    </w:p>
    <w:p w14:paraId="635773EE" w14:textId="77777777" w:rsidR="00147AD9" w:rsidRDefault="00000000">
      <w:pPr>
        <w:jc w:val="center"/>
        <w:rPr>
          <w:rFonts w:ascii="Times New Roman" w:eastAsia="宋体" w:hAnsi="Times New Roman" w:cs="Times New Roman"/>
          <w:sz w:val="22"/>
          <w:szCs w:val="22"/>
        </w:rPr>
      </w:pPr>
      <w:r>
        <w:rPr>
          <w:rFonts w:ascii="Times New Roman" w:eastAsia="宋体" w:hAnsi="Times New Roman" w:cs="Times New Roman"/>
          <w:sz w:val="22"/>
          <w:szCs w:val="22"/>
        </w:rPr>
        <w:t>Table 5  Discriminant Validity of Constructs (Fornell–Larcker Criterion)</w:t>
      </w:r>
    </w:p>
    <w:tbl>
      <w:tblPr>
        <w:tblW w:w="4997" w:type="pct"/>
        <w:tblLayout w:type="fixed"/>
        <w:tblLook w:val="04A0" w:firstRow="1" w:lastRow="0" w:firstColumn="1" w:lastColumn="0" w:noHBand="0" w:noVBand="1"/>
      </w:tblPr>
      <w:tblGrid>
        <w:gridCol w:w="2770"/>
        <w:gridCol w:w="1338"/>
        <w:gridCol w:w="935"/>
        <w:gridCol w:w="1097"/>
        <w:gridCol w:w="971"/>
        <w:gridCol w:w="1190"/>
      </w:tblGrid>
      <w:tr w:rsidR="00147AD9" w14:paraId="7F494AB4" w14:textId="77777777">
        <w:trPr>
          <w:trHeight w:val="520"/>
        </w:trPr>
        <w:tc>
          <w:tcPr>
            <w:tcW w:w="1667" w:type="pct"/>
            <w:tcBorders>
              <w:top w:val="single" w:sz="12" w:space="0" w:color="000000"/>
              <w:left w:val="nil"/>
              <w:bottom w:val="single" w:sz="4" w:space="0" w:color="000000"/>
              <w:right w:val="nil"/>
              <w:tl2br w:val="nil"/>
            </w:tcBorders>
            <w:shd w:val="clear" w:color="auto" w:fill="FFFFFF"/>
            <w:vAlign w:val="center"/>
          </w:tcPr>
          <w:p w14:paraId="2D0756EA"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Variable</w:t>
            </w:r>
          </w:p>
        </w:tc>
        <w:tc>
          <w:tcPr>
            <w:tcW w:w="805" w:type="pct"/>
            <w:tcBorders>
              <w:top w:val="single" w:sz="12" w:space="0" w:color="000000"/>
              <w:left w:val="nil"/>
              <w:bottom w:val="single" w:sz="4" w:space="0" w:color="000000"/>
              <w:right w:val="nil"/>
            </w:tcBorders>
            <w:shd w:val="clear" w:color="auto" w:fill="FFFFFF"/>
            <w:vAlign w:val="center"/>
          </w:tcPr>
          <w:p w14:paraId="0D9E269A"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Corporate Green Culture </w:t>
            </w:r>
            <w:r>
              <w:rPr>
                <w:rFonts w:ascii="Times New Roman" w:hAnsi="Times New Roman" w:cs="Times New Roman"/>
                <w:color w:val="000000"/>
                <w:sz w:val="22"/>
                <w:szCs w:val="22"/>
              </w:rPr>
              <w:lastRenderedPageBreak/>
              <w:t>(CGC)</w:t>
            </w:r>
          </w:p>
        </w:tc>
        <w:tc>
          <w:tcPr>
            <w:tcW w:w="563" w:type="pct"/>
            <w:tcBorders>
              <w:top w:val="single" w:sz="12" w:space="0" w:color="000000"/>
              <w:left w:val="nil"/>
              <w:bottom w:val="single" w:sz="4" w:space="0" w:color="000000"/>
              <w:right w:val="nil"/>
            </w:tcBorders>
            <w:shd w:val="clear" w:color="auto" w:fill="FFFFFF"/>
            <w:vAlign w:val="center"/>
          </w:tcPr>
          <w:p w14:paraId="073BA263"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Green Leadership </w:t>
            </w:r>
            <w:r>
              <w:rPr>
                <w:rFonts w:ascii="Times New Roman" w:hAnsi="Times New Roman" w:cs="Times New Roman"/>
                <w:color w:val="000000"/>
                <w:sz w:val="22"/>
                <w:szCs w:val="22"/>
              </w:rPr>
              <w:lastRenderedPageBreak/>
              <w:t>(GL)</w:t>
            </w:r>
          </w:p>
        </w:tc>
        <w:tc>
          <w:tcPr>
            <w:tcW w:w="660" w:type="pct"/>
            <w:tcBorders>
              <w:top w:val="single" w:sz="12" w:space="0" w:color="000000"/>
              <w:left w:val="nil"/>
              <w:bottom w:val="single" w:sz="4" w:space="0" w:color="000000"/>
              <w:right w:val="nil"/>
            </w:tcBorders>
            <w:shd w:val="clear" w:color="auto" w:fill="FFFFFF"/>
            <w:vAlign w:val="center"/>
          </w:tcPr>
          <w:p w14:paraId="15D16B89"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Psychological Contract </w:t>
            </w:r>
            <w:r>
              <w:rPr>
                <w:rFonts w:ascii="Times New Roman" w:hAnsi="Times New Roman" w:cs="Times New Roman"/>
                <w:color w:val="000000"/>
                <w:sz w:val="22"/>
                <w:szCs w:val="22"/>
              </w:rPr>
              <w:lastRenderedPageBreak/>
              <w:t>(PC)</w:t>
            </w:r>
          </w:p>
        </w:tc>
        <w:tc>
          <w:tcPr>
            <w:tcW w:w="585" w:type="pct"/>
            <w:tcBorders>
              <w:top w:val="single" w:sz="12" w:space="0" w:color="000000"/>
              <w:left w:val="nil"/>
              <w:bottom w:val="single" w:sz="4" w:space="0" w:color="000000"/>
              <w:right w:val="nil"/>
            </w:tcBorders>
            <w:shd w:val="clear" w:color="auto" w:fill="FFFFFF"/>
            <w:vAlign w:val="center"/>
          </w:tcPr>
          <w:p w14:paraId="1E1729C2"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Employee Green </w:t>
            </w:r>
            <w:r>
              <w:rPr>
                <w:rFonts w:ascii="Times New Roman" w:hAnsi="Times New Roman" w:cs="Times New Roman"/>
                <w:color w:val="000000"/>
                <w:sz w:val="22"/>
                <w:szCs w:val="22"/>
              </w:rPr>
              <w:lastRenderedPageBreak/>
              <w:t>Behavior (EGB)</w:t>
            </w:r>
          </w:p>
        </w:tc>
        <w:tc>
          <w:tcPr>
            <w:tcW w:w="716" w:type="pct"/>
            <w:tcBorders>
              <w:top w:val="single" w:sz="12" w:space="0" w:color="000000"/>
              <w:left w:val="nil"/>
              <w:bottom w:val="single" w:sz="4" w:space="0" w:color="000000"/>
              <w:right w:val="nil"/>
            </w:tcBorders>
            <w:shd w:val="clear" w:color="auto" w:fill="FFFFFF"/>
            <w:vAlign w:val="center"/>
          </w:tcPr>
          <w:p w14:paraId="79A9B9C9"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Perceived Organizational </w:t>
            </w:r>
            <w:r>
              <w:rPr>
                <w:rFonts w:ascii="Times New Roman" w:hAnsi="Times New Roman" w:cs="Times New Roman"/>
                <w:color w:val="000000"/>
                <w:sz w:val="22"/>
                <w:szCs w:val="22"/>
              </w:rPr>
              <w:lastRenderedPageBreak/>
              <w:t>Support (POS)</w:t>
            </w:r>
          </w:p>
        </w:tc>
      </w:tr>
      <w:tr w:rsidR="00147AD9" w14:paraId="351126C1" w14:textId="77777777">
        <w:trPr>
          <w:trHeight w:val="520"/>
        </w:trPr>
        <w:tc>
          <w:tcPr>
            <w:tcW w:w="1667" w:type="pct"/>
            <w:tcBorders>
              <w:top w:val="single" w:sz="4" w:space="0" w:color="000000"/>
              <w:left w:val="nil"/>
              <w:bottom w:val="nil"/>
              <w:right w:val="nil"/>
            </w:tcBorders>
            <w:shd w:val="clear" w:color="auto" w:fill="FFFFFF"/>
            <w:vAlign w:val="center"/>
          </w:tcPr>
          <w:p w14:paraId="39C3D0CE"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Corporate Green Culture (CGC)</w:t>
            </w:r>
          </w:p>
        </w:tc>
        <w:tc>
          <w:tcPr>
            <w:tcW w:w="805" w:type="pct"/>
            <w:tcBorders>
              <w:top w:val="single" w:sz="4" w:space="0" w:color="000000"/>
              <w:left w:val="nil"/>
              <w:bottom w:val="nil"/>
              <w:right w:val="nil"/>
            </w:tcBorders>
            <w:shd w:val="clear" w:color="auto" w:fill="FFFFFF"/>
            <w:vAlign w:val="center"/>
          </w:tcPr>
          <w:p w14:paraId="282E3A97"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0.861</w:t>
            </w:r>
          </w:p>
        </w:tc>
        <w:tc>
          <w:tcPr>
            <w:tcW w:w="563" w:type="pct"/>
            <w:tcBorders>
              <w:top w:val="single" w:sz="4" w:space="0" w:color="000000"/>
              <w:left w:val="nil"/>
              <w:bottom w:val="nil"/>
              <w:right w:val="nil"/>
            </w:tcBorders>
            <w:shd w:val="clear" w:color="auto" w:fill="FFFFFF"/>
            <w:vAlign w:val="center"/>
          </w:tcPr>
          <w:p w14:paraId="108A7ED6" w14:textId="77777777" w:rsidR="00147AD9" w:rsidRDefault="00147AD9">
            <w:pPr>
              <w:jc w:val="center"/>
              <w:rPr>
                <w:rFonts w:ascii="Times New Roman" w:hAnsi="Times New Roman" w:cs="Times New Roman"/>
                <w:color w:val="000000"/>
                <w:sz w:val="22"/>
                <w:szCs w:val="22"/>
              </w:rPr>
            </w:pPr>
          </w:p>
        </w:tc>
        <w:tc>
          <w:tcPr>
            <w:tcW w:w="660" w:type="pct"/>
            <w:tcBorders>
              <w:top w:val="single" w:sz="4" w:space="0" w:color="000000"/>
              <w:left w:val="nil"/>
              <w:bottom w:val="nil"/>
              <w:right w:val="nil"/>
            </w:tcBorders>
            <w:shd w:val="clear" w:color="auto" w:fill="FFFFFF"/>
            <w:vAlign w:val="center"/>
          </w:tcPr>
          <w:p w14:paraId="2C309243" w14:textId="77777777" w:rsidR="00147AD9" w:rsidRDefault="00147AD9">
            <w:pPr>
              <w:jc w:val="center"/>
              <w:rPr>
                <w:rFonts w:ascii="Times New Roman" w:hAnsi="Times New Roman" w:cs="Times New Roman"/>
                <w:color w:val="000000"/>
                <w:sz w:val="22"/>
                <w:szCs w:val="22"/>
              </w:rPr>
            </w:pPr>
          </w:p>
        </w:tc>
        <w:tc>
          <w:tcPr>
            <w:tcW w:w="585" w:type="pct"/>
            <w:tcBorders>
              <w:top w:val="single" w:sz="4" w:space="0" w:color="000000"/>
              <w:left w:val="nil"/>
              <w:bottom w:val="nil"/>
              <w:right w:val="nil"/>
            </w:tcBorders>
            <w:shd w:val="clear" w:color="auto" w:fill="FFFFFF"/>
            <w:vAlign w:val="center"/>
          </w:tcPr>
          <w:p w14:paraId="5E67E8DC" w14:textId="77777777" w:rsidR="00147AD9" w:rsidRDefault="00147AD9">
            <w:pPr>
              <w:jc w:val="center"/>
              <w:rPr>
                <w:rFonts w:ascii="Times New Roman" w:hAnsi="Times New Roman" w:cs="Times New Roman"/>
                <w:color w:val="000000"/>
                <w:sz w:val="22"/>
                <w:szCs w:val="22"/>
              </w:rPr>
            </w:pPr>
          </w:p>
        </w:tc>
        <w:tc>
          <w:tcPr>
            <w:tcW w:w="716" w:type="pct"/>
            <w:tcBorders>
              <w:top w:val="single" w:sz="4" w:space="0" w:color="000000"/>
              <w:left w:val="nil"/>
              <w:bottom w:val="nil"/>
              <w:right w:val="nil"/>
            </w:tcBorders>
            <w:shd w:val="clear" w:color="auto" w:fill="FFFFFF"/>
            <w:vAlign w:val="center"/>
          </w:tcPr>
          <w:p w14:paraId="535D1590" w14:textId="77777777" w:rsidR="00147AD9" w:rsidRDefault="00147AD9">
            <w:pPr>
              <w:jc w:val="center"/>
              <w:rPr>
                <w:rFonts w:ascii="Times New Roman" w:hAnsi="Times New Roman" w:cs="Times New Roman"/>
                <w:color w:val="000000"/>
                <w:sz w:val="22"/>
                <w:szCs w:val="22"/>
              </w:rPr>
            </w:pPr>
          </w:p>
        </w:tc>
      </w:tr>
      <w:tr w:rsidR="00147AD9" w14:paraId="26CD3B62" w14:textId="77777777">
        <w:trPr>
          <w:trHeight w:val="520"/>
        </w:trPr>
        <w:tc>
          <w:tcPr>
            <w:tcW w:w="1667" w:type="pct"/>
            <w:tcBorders>
              <w:top w:val="nil"/>
              <w:left w:val="nil"/>
              <w:bottom w:val="nil"/>
              <w:right w:val="nil"/>
            </w:tcBorders>
            <w:shd w:val="clear" w:color="auto" w:fill="FFFFFF"/>
            <w:vAlign w:val="center"/>
          </w:tcPr>
          <w:p w14:paraId="6E08941A"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Green Leadership (GL)</w:t>
            </w:r>
          </w:p>
        </w:tc>
        <w:tc>
          <w:tcPr>
            <w:tcW w:w="805" w:type="pct"/>
            <w:tcBorders>
              <w:top w:val="nil"/>
              <w:left w:val="nil"/>
              <w:bottom w:val="nil"/>
              <w:right w:val="nil"/>
            </w:tcBorders>
            <w:shd w:val="clear" w:color="auto" w:fill="FFFFFF"/>
            <w:vAlign w:val="center"/>
          </w:tcPr>
          <w:p w14:paraId="5A26890D"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0.503</w:t>
            </w:r>
          </w:p>
        </w:tc>
        <w:tc>
          <w:tcPr>
            <w:tcW w:w="563" w:type="pct"/>
            <w:tcBorders>
              <w:top w:val="nil"/>
              <w:left w:val="nil"/>
              <w:bottom w:val="nil"/>
              <w:right w:val="nil"/>
            </w:tcBorders>
            <w:shd w:val="clear" w:color="auto" w:fill="FFFFFF"/>
            <w:vAlign w:val="center"/>
          </w:tcPr>
          <w:p w14:paraId="1364AF3C"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0.857</w:t>
            </w:r>
          </w:p>
        </w:tc>
        <w:tc>
          <w:tcPr>
            <w:tcW w:w="660" w:type="pct"/>
            <w:tcBorders>
              <w:top w:val="nil"/>
              <w:left w:val="nil"/>
              <w:bottom w:val="nil"/>
              <w:right w:val="nil"/>
            </w:tcBorders>
            <w:shd w:val="clear" w:color="auto" w:fill="FFFFFF"/>
            <w:vAlign w:val="center"/>
          </w:tcPr>
          <w:p w14:paraId="18A35FC6" w14:textId="77777777" w:rsidR="00147AD9" w:rsidRDefault="00147AD9">
            <w:pPr>
              <w:jc w:val="center"/>
              <w:rPr>
                <w:rFonts w:ascii="Times New Roman" w:hAnsi="Times New Roman" w:cs="Times New Roman"/>
                <w:color w:val="000000"/>
                <w:sz w:val="22"/>
                <w:szCs w:val="22"/>
              </w:rPr>
            </w:pPr>
          </w:p>
        </w:tc>
        <w:tc>
          <w:tcPr>
            <w:tcW w:w="585" w:type="pct"/>
            <w:tcBorders>
              <w:top w:val="nil"/>
              <w:left w:val="nil"/>
              <w:bottom w:val="nil"/>
              <w:right w:val="nil"/>
            </w:tcBorders>
            <w:shd w:val="clear" w:color="auto" w:fill="FFFFFF"/>
            <w:vAlign w:val="center"/>
          </w:tcPr>
          <w:p w14:paraId="4E9DF3A3" w14:textId="77777777" w:rsidR="00147AD9" w:rsidRDefault="00147AD9">
            <w:pPr>
              <w:jc w:val="center"/>
              <w:rPr>
                <w:rFonts w:ascii="Times New Roman" w:hAnsi="Times New Roman" w:cs="Times New Roman"/>
                <w:color w:val="000000"/>
                <w:sz w:val="22"/>
                <w:szCs w:val="22"/>
              </w:rPr>
            </w:pPr>
          </w:p>
        </w:tc>
        <w:tc>
          <w:tcPr>
            <w:tcW w:w="716" w:type="pct"/>
            <w:tcBorders>
              <w:top w:val="nil"/>
              <w:left w:val="nil"/>
              <w:bottom w:val="nil"/>
              <w:right w:val="nil"/>
            </w:tcBorders>
            <w:shd w:val="clear" w:color="auto" w:fill="FFFFFF"/>
            <w:vAlign w:val="center"/>
          </w:tcPr>
          <w:p w14:paraId="1C98A3B6" w14:textId="77777777" w:rsidR="00147AD9" w:rsidRDefault="00147AD9">
            <w:pPr>
              <w:jc w:val="center"/>
              <w:rPr>
                <w:rFonts w:ascii="Times New Roman" w:hAnsi="Times New Roman" w:cs="Times New Roman"/>
                <w:color w:val="000000"/>
                <w:sz w:val="22"/>
                <w:szCs w:val="22"/>
              </w:rPr>
            </w:pPr>
          </w:p>
        </w:tc>
      </w:tr>
      <w:tr w:rsidR="00147AD9" w14:paraId="25DBC0B2" w14:textId="77777777">
        <w:trPr>
          <w:trHeight w:val="520"/>
        </w:trPr>
        <w:tc>
          <w:tcPr>
            <w:tcW w:w="1667" w:type="pct"/>
            <w:tcBorders>
              <w:top w:val="nil"/>
              <w:left w:val="nil"/>
              <w:bottom w:val="nil"/>
              <w:right w:val="nil"/>
            </w:tcBorders>
            <w:shd w:val="clear" w:color="auto" w:fill="FFFFFF"/>
            <w:vAlign w:val="center"/>
          </w:tcPr>
          <w:p w14:paraId="2A6BF645"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Psychological Contract (PC)</w:t>
            </w:r>
          </w:p>
        </w:tc>
        <w:tc>
          <w:tcPr>
            <w:tcW w:w="805" w:type="pct"/>
            <w:tcBorders>
              <w:top w:val="nil"/>
              <w:left w:val="nil"/>
              <w:bottom w:val="nil"/>
              <w:right w:val="nil"/>
            </w:tcBorders>
            <w:shd w:val="clear" w:color="auto" w:fill="FFFFFF"/>
            <w:vAlign w:val="center"/>
          </w:tcPr>
          <w:p w14:paraId="0AD37C7A"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0.417</w:t>
            </w:r>
          </w:p>
        </w:tc>
        <w:tc>
          <w:tcPr>
            <w:tcW w:w="563" w:type="pct"/>
            <w:tcBorders>
              <w:top w:val="nil"/>
              <w:left w:val="nil"/>
              <w:bottom w:val="nil"/>
              <w:right w:val="nil"/>
            </w:tcBorders>
            <w:shd w:val="clear" w:color="auto" w:fill="FFFFFF"/>
            <w:vAlign w:val="center"/>
          </w:tcPr>
          <w:p w14:paraId="6E5B0BC4"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0.466</w:t>
            </w:r>
          </w:p>
        </w:tc>
        <w:tc>
          <w:tcPr>
            <w:tcW w:w="660" w:type="pct"/>
            <w:tcBorders>
              <w:top w:val="nil"/>
              <w:left w:val="nil"/>
              <w:bottom w:val="nil"/>
              <w:right w:val="nil"/>
            </w:tcBorders>
            <w:shd w:val="clear" w:color="auto" w:fill="FFFFFF"/>
            <w:vAlign w:val="center"/>
          </w:tcPr>
          <w:p w14:paraId="35DF47EE"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0.87</w:t>
            </w:r>
          </w:p>
        </w:tc>
        <w:tc>
          <w:tcPr>
            <w:tcW w:w="585" w:type="pct"/>
            <w:tcBorders>
              <w:top w:val="nil"/>
              <w:left w:val="nil"/>
              <w:bottom w:val="nil"/>
              <w:right w:val="nil"/>
            </w:tcBorders>
            <w:shd w:val="clear" w:color="auto" w:fill="FFFFFF"/>
            <w:vAlign w:val="center"/>
          </w:tcPr>
          <w:p w14:paraId="51D73453" w14:textId="77777777" w:rsidR="00147AD9" w:rsidRDefault="00147AD9">
            <w:pPr>
              <w:jc w:val="center"/>
              <w:rPr>
                <w:rFonts w:ascii="Times New Roman" w:hAnsi="Times New Roman" w:cs="Times New Roman"/>
                <w:color w:val="000000"/>
                <w:sz w:val="22"/>
                <w:szCs w:val="22"/>
              </w:rPr>
            </w:pPr>
          </w:p>
        </w:tc>
        <w:tc>
          <w:tcPr>
            <w:tcW w:w="716" w:type="pct"/>
            <w:tcBorders>
              <w:top w:val="nil"/>
              <w:left w:val="nil"/>
              <w:bottom w:val="nil"/>
              <w:right w:val="nil"/>
            </w:tcBorders>
            <w:shd w:val="clear" w:color="auto" w:fill="FFFFFF"/>
            <w:vAlign w:val="center"/>
          </w:tcPr>
          <w:p w14:paraId="47FF3D34" w14:textId="77777777" w:rsidR="00147AD9" w:rsidRDefault="00147AD9">
            <w:pPr>
              <w:jc w:val="center"/>
              <w:rPr>
                <w:rFonts w:ascii="Times New Roman" w:hAnsi="Times New Roman" w:cs="Times New Roman"/>
                <w:color w:val="000000"/>
                <w:sz w:val="22"/>
                <w:szCs w:val="22"/>
              </w:rPr>
            </w:pPr>
          </w:p>
        </w:tc>
      </w:tr>
      <w:tr w:rsidR="00147AD9" w14:paraId="1BEE117F" w14:textId="77777777">
        <w:trPr>
          <w:trHeight w:val="520"/>
        </w:trPr>
        <w:tc>
          <w:tcPr>
            <w:tcW w:w="1667" w:type="pct"/>
            <w:tcBorders>
              <w:top w:val="nil"/>
              <w:left w:val="nil"/>
              <w:bottom w:val="nil"/>
              <w:right w:val="nil"/>
            </w:tcBorders>
            <w:shd w:val="clear" w:color="auto" w:fill="FFFFFF"/>
            <w:vAlign w:val="center"/>
          </w:tcPr>
          <w:p w14:paraId="7A7C271B"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Employee Green Behavior (EGB)</w:t>
            </w:r>
          </w:p>
        </w:tc>
        <w:tc>
          <w:tcPr>
            <w:tcW w:w="805" w:type="pct"/>
            <w:tcBorders>
              <w:top w:val="nil"/>
              <w:left w:val="nil"/>
              <w:bottom w:val="nil"/>
              <w:right w:val="nil"/>
            </w:tcBorders>
            <w:shd w:val="clear" w:color="auto" w:fill="FFFFFF"/>
            <w:vAlign w:val="center"/>
          </w:tcPr>
          <w:p w14:paraId="07F52ABA"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0.433</w:t>
            </w:r>
          </w:p>
        </w:tc>
        <w:tc>
          <w:tcPr>
            <w:tcW w:w="563" w:type="pct"/>
            <w:tcBorders>
              <w:top w:val="nil"/>
              <w:left w:val="nil"/>
              <w:bottom w:val="nil"/>
              <w:right w:val="nil"/>
            </w:tcBorders>
            <w:shd w:val="clear" w:color="auto" w:fill="FFFFFF"/>
            <w:vAlign w:val="center"/>
          </w:tcPr>
          <w:p w14:paraId="6374D50B"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0.479</w:t>
            </w:r>
          </w:p>
        </w:tc>
        <w:tc>
          <w:tcPr>
            <w:tcW w:w="660" w:type="pct"/>
            <w:tcBorders>
              <w:top w:val="nil"/>
              <w:left w:val="nil"/>
              <w:bottom w:val="nil"/>
              <w:right w:val="nil"/>
            </w:tcBorders>
            <w:shd w:val="clear" w:color="auto" w:fill="FFFFFF"/>
            <w:vAlign w:val="center"/>
          </w:tcPr>
          <w:p w14:paraId="141DFF09"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0.498</w:t>
            </w:r>
          </w:p>
        </w:tc>
        <w:tc>
          <w:tcPr>
            <w:tcW w:w="585" w:type="pct"/>
            <w:tcBorders>
              <w:top w:val="nil"/>
              <w:left w:val="nil"/>
              <w:bottom w:val="nil"/>
              <w:right w:val="nil"/>
            </w:tcBorders>
            <w:shd w:val="clear" w:color="auto" w:fill="FFFFFF"/>
            <w:vAlign w:val="center"/>
          </w:tcPr>
          <w:p w14:paraId="5DCDAF4B"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0.865</w:t>
            </w:r>
          </w:p>
        </w:tc>
        <w:tc>
          <w:tcPr>
            <w:tcW w:w="716" w:type="pct"/>
            <w:tcBorders>
              <w:top w:val="nil"/>
              <w:left w:val="nil"/>
              <w:bottom w:val="nil"/>
              <w:right w:val="nil"/>
            </w:tcBorders>
            <w:shd w:val="clear" w:color="auto" w:fill="FFFFFF"/>
            <w:vAlign w:val="center"/>
          </w:tcPr>
          <w:p w14:paraId="36CAC4D6" w14:textId="77777777" w:rsidR="00147AD9" w:rsidRDefault="00147AD9">
            <w:pPr>
              <w:jc w:val="center"/>
              <w:rPr>
                <w:rFonts w:ascii="Times New Roman" w:hAnsi="Times New Roman" w:cs="Times New Roman"/>
                <w:color w:val="000000"/>
                <w:sz w:val="22"/>
                <w:szCs w:val="22"/>
              </w:rPr>
            </w:pPr>
          </w:p>
        </w:tc>
      </w:tr>
      <w:tr w:rsidR="00147AD9" w14:paraId="2BA73A62" w14:textId="77777777">
        <w:trPr>
          <w:trHeight w:val="374"/>
        </w:trPr>
        <w:tc>
          <w:tcPr>
            <w:tcW w:w="1667" w:type="pct"/>
            <w:tcBorders>
              <w:top w:val="nil"/>
              <w:left w:val="nil"/>
              <w:bottom w:val="nil"/>
              <w:right w:val="nil"/>
            </w:tcBorders>
            <w:shd w:val="clear" w:color="auto" w:fill="FFFFFF"/>
            <w:vAlign w:val="center"/>
          </w:tcPr>
          <w:p w14:paraId="1722011E"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Perceived Organizational Support (POS)</w:t>
            </w:r>
          </w:p>
        </w:tc>
        <w:tc>
          <w:tcPr>
            <w:tcW w:w="805" w:type="pct"/>
            <w:tcBorders>
              <w:top w:val="nil"/>
              <w:left w:val="nil"/>
              <w:bottom w:val="nil"/>
              <w:right w:val="nil"/>
            </w:tcBorders>
            <w:shd w:val="clear" w:color="auto" w:fill="FFFFFF"/>
            <w:vAlign w:val="center"/>
          </w:tcPr>
          <w:p w14:paraId="0E91966C"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0.518</w:t>
            </w:r>
          </w:p>
        </w:tc>
        <w:tc>
          <w:tcPr>
            <w:tcW w:w="563" w:type="pct"/>
            <w:tcBorders>
              <w:top w:val="nil"/>
              <w:left w:val="nil"/>
              <w:bottom w:val="nil"/>
              <w:right w:val="nil"/>
            </w:tcBorders>
            <w:shd w:val="clear" w:color="auto" w:fill="FFFFFF"/>
            <w:vAlign w:val="center"/>
          </w:tcPr>
          <w:p w14:paraId="02445B65"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0.485</w:t>
            </w:r>
          </w:p>
        </w:tc>
        <w:tc>
          <w:tcPr>
            <w:tcW w:w="660" w:type="pct"/>
            <w:tcBorders>
              <w:top w:val="nil"/>
              <w:left w:val="nil"/>
              <w:bottom w:val="nil"/>
              <w:right w:val="nil"/>
            </w:tcBorders>
            <w:shd w:val="clear" w:color="auto" w:fill="FFFFFF"/>
            <w:vAlign w:val="center"/>
          </w:tcPr>
          <w:p w14:paraId="1372E0F9"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0.554</w:t>
            </w:r>
          </w:p>
        </w:tc>
        <w:tc>
          <w:tcPr>
            <w:tcW w:w="585" w:type="pct"/>
            <w:tcBorders>
              <w:top w:val="nil"/>
              <w:left w:val="nil"/>
              <w:bottom w:val="nil"/>
              <w:right w:val="nil"/>
            </w:tcBorders>
            <w:shd w:val="clear" w:color="auto" w:fill="FFFFFF"/>
            <w:vAlign w:val="center"/>
          </w:tcPr>
          <w:p w14:paraId="392D7B8A"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0.56</w:t>
            </w:r>
          </w:p>
        </w:tc>
        <w:tc>
          <w:tcPr>
            <w:tcW w:w="716" w:type="pct"/>
            <w:tcBorders>
              <w:top w:val="nil"/>
              <w:left w:val="nil"/>
              <w:bottom w:val="nil"/>
              <w:right w:val="nil"/>
            </w:tcBorders>
            <w:shd w:val="clear" w:color="auto" w:fill="FFFFFF"/>
            <w:vAlign w:val="center"/>
          </w:tcPr>
          <w:p w14:paraId="20E927C3"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0.865</w:t>
            </w:r>
          </w:p>
        </w:tc>
      </w:tr>
      <w:tr w:rsidR="00147AD9" w14:paraId="58FF3610" w14:textId="77777777">
        <w:trPr>
          <w:trHeight w:val="453"/>
        </w:trPr>
        <w:tc>
          <w:tcPr>
            <w:tcW w:w="1667" w:type="pct"/>
            <w:tcBorders>
              <w:top w:val="nil"/>
              <w:left w:val="nil"/>
              <w:bottom w:val="single" w:sz="12" w:space="0" w:color="000000"/>
              <w:right w:val="nil"/>
            </w:tcBorders>
            <w:shd w:val="clear" w:color="auto" w:fill="FFFFFF"/>
            <w:vAlign w:val="center"/>
          </w:tcPr>
          <w:p w14:paraId="49779393"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AVE value square root</w:t>
            </w:r>
          </w:p>
        </w:tc>
        <w:tc>
          <w:tcPr>
            <w:tcW w:w="1372" w:type="dxa"/>
            <w:tcBorders>
              <w:top w:val="nil"/>
              <w:left w:val="nil"/>
              <w:bottom w:val="single" w:sz="12" w:space="0" w:color="000000"/>
              <w:right w:val="nil"/>
            </w:tcBorders>
            <w:shd w:val="clear" w:color="auto" w:fill="FFFFFF"/>
            <w:vAlign w:val="center"/>
          </w:tcPr>
          <w:p w14:paraId="0B653D4E" w14:textId="77777777" w:rsidR="00147AD9" w:rsidRDefault="00000000">
            <w:pPr>
              <w:widowControl/>
              <w:jc w:val="center"/>
              <w:textAlignment w:val="center"/>
              <w:rPr>
                <w:rFonts w:ascii="Times New Roman" w:hAnsi="Times New Roman" w:cs="Times New Roman"/>
                <w:color w:val="000000"/>
                <w:sz w:val="22"/>
                <w:szCs w:val="22"/>
              </w:rPr>
            </w:pPr>
            <w:r>
              <w:rPr>
                <w:rFonts w:ascii="Times New Roman" w:eastAsia="宋体" w:hAnsi="Times New Roman" w:cs="Times New Roman"/>
                <w:color w:val="000000"/>
                <w:kern w:val="0"/>
                <w:sz w:val="22"/>
                <w:szCs w:val="22"/>
                <w:lang w:bidi="ar"/>
              </w:rPr>
              <w:t xml:space="preserve">0.928 </w:t>
            </w:r>
          </w:p>
        </w:tc>
        <w:tc>
          <w:tcPr>
            <w:tcW w:w="960" w:type="dxa"/>
            <w:tcBorders>
              <w:top w:val="nil"/>
              <w:left w:val="nil"/>
              <w:bottom w:val="single" w:sz="12" w:space="0" w:color="000000"/>
              <w:right w:val="nil"/>
            </w:tcBorders>
            <w:shd w:val="clear" w:color="auto" w:fill="FFFFFF"/>
            <w:vAlign w:val="center"/>
          </w:tcPr>
          <w:p w14:paraId="45ED9714" w14:textId="77777777" w:rsidR="00147AD9" w:rsidRDefault="00000000">
            <w:pPr>
              <w:widowControl/>
              <w:jc w:val="center"/>
              <w:textAlignment w:val="center"/>
              <w:rPr>
                <w:rFonts w:ascii="Times New Roman" w:hAnsi="Times New Roman" w:cs="Times New Roman"/>
                <w:color w:val="000000"/>
                <w:sz w:val="22"/>
                <w:szCs w:val="22"/>
              </w:rPr>
            </w:pPr>
            <w:r>
              <w:rPr>
                <w:rFonts w:ascii="Times New Roman" w:eastAsia="宋体" w:hAnsi="Times New Roman" w:cs="Times New Roman"/>
                <w:color w:val="000000"/>
                <w:kern w:val="0"/>
                <w:sz w:val="22"/>
                <w:szCs w:val="22"/>
                <w:lang w:bidi="ar"/>
              </w:rPr>
              <w:t xml:space="preserve">0.926 </w:t>
            </w:r>
          </w:p>
        </w:tc>
        <w:tc>
          <w:tcPr>
            <w:tcW w:w="1125" w:type="dxa"/>
            <w:tcBorders>
              <w:top w:val="nil"/>
              <w:left w:val="nil"/>
              <w:bottom w:val="single" w:sz="12" w:space="0" w:color="000000"/>
              <w:right w:val="nil"/>
            </w:tcBorders>
            <w:shd w:val="clear" w:color="auto" w:fill="FFFFFF"/>
            <w:vAlign w:val="center"/>
          </w:tcPr>
          <w:p w14:paraId="46C9A784" w14:textId="77777777" w:rsidR="00147AD9" w:rsidRDefault="00000000">
            <w:pPr>
              <w:widowControl/>
              <w:jc w:val="center"/>
              <w:textAlignment w:val="center"/>
              <w:rPr>
                <w:rFonts w:ascii="Times New Roman" w:hAnsi="Times New Roman" w:cs="Times New Roman"/>
                <w:color w:val="000000"/>
                <w:sz w:val="22"/>
                <w:szCs w:val="22"/>
              </w:rPr>
            </w:pPr>
            <w:r>
              <w:rPr>
                <w:rFonts w:ascii="Times New Roman" w:eastAsia="宋体" w:hAnsi="Times New Roman" w:cs="Times New Roman"/>
                <w:color w:val="000000"/>
                <w:kern w:val="0"/>
                <w:sz w:val="22"/>
                <w:szCs w:val="22"/>
                <w:lang w:bidi="ar"/>
              </w:rPr>
              <w:t xml:space="preserve">0.933 </w:t>
            </w:r>
          </w:p>
        </w:tc>
        <w:tc>
          <w:tcPr>
            <w:tcW w:w="998" w:type="dxa"/>
            <w:tcBorders>
              <w:top w:val="nil"/>
              <w:left w:val="nil"/>
              <w:bottom w:val="single" w:sz="12" w:space="0" w:color="000000"/>
              <w:right w:val="nil"/>
            </w:tcBorders>
            <w:shd w:val="clear" w:color="auto" w:fill="FFFFFF"/>
            <w:vAlign w:val="center"/>
          </w:tcPr>
          <w:p w14:paraId="412C5735" w14:textId="77777777" w:rsidR="00147AD9" w:rsidRDefault="00000000">
            <w:pPr>
              <w:widowControl/>
              <w:jc w:val="center"/>
              <w:textAlignment w:val="center"/>
              <w:rPr>
                <w:rFonts w:ascii="Times New Roman" w:hAnsi="Times New Roman" w:cs="Times New Roman"/>
                <w:color w:val="000000"/>
                <w:sz w:val="22"/>
                <w:szCs w:val="22"/>
              </w:rPr>
            </w:pPr>
            <w:r>
              <w:rPr>
                <w:rFonts w:ascii="Times New Roman" w:eastAsia="宋体" w:hAnsi="Times New Roman" w:cs="Times New Roman"/>
                <w:color w:val="000000"/>
                <w:kern w:val="0"/>
                <w:sz w:val="22"/>
                <w:szCs w:val="22"/>
                <w:lang w:bidi="ar"/>
              </w:rPr>
              <w:t xml:space="preserve">0.930 </w:t>
            </w:r>
          </w:p>
        </w:tc>
        <w:tc>
          <w:tcPr>
            <w:tcW w:w="1221" w:type="dxa"/>
            <w:tcBorders>
              <w:top w:val="nil"/>
              <w:left w:val="nil"/>
              <w:bottom w:val="single" w:sz="12" w:space="0" w:color="000000"/>
              <w:right w:val="nil"/>
            </w:tcBorders>
            <w:shd w:val="clear" w:color="auto" w:fill="FFFFFF"/>
            <w:vAlign w:val="center"/>
          </w:tcPr>
          <w:p w14:paraId="5D1A6771" w14:textId="77777777" w:rsidR="00147AD9" w:rsidRDefault="00000000">
            <w:pPr>
              <w:widowControl/>
              <w:jc w:val="center"/>
              <w:textAlignment w:val="center"/>
              <w:rPr>
                <w:rFonts w:ascii="Times New Roman" w:hAnsi="Times New Roman" w:cs="Times New Roman"/>
                <w:color w:val="000000"/>
                <w:sz w:val="22"/>
                <w:szCs w:val="22"/>
              </w:rPr>
            </w:pPr>
            <w:r>
              <w:rPr>
                <w:rFonts w:ascii="Times New Roman" w:eastAsia="宋体" w:hAnsi="Times New Roman" w:cs="Times New Roman"/>
                <w:color w:val="000000"/>
                <w:kern w:val="0"/>
                <w:sz w:val="22"/>
                <w:szCs w:val="22"/>
                <w:lang w:bidi="ar"/>
              </w:rPr>
              <w:t xml:space="preserve">0.930 </w:t>
            </w:r>
          </w:p>
        </w:tc>
      </w:tr>
    </w:tbl>
    <w:p w14:paraId="51C9DFC0" w14:textId="77777777" w:rsidR="00147AD9" w:rsidRDefault="00147AD9">
      <w:pPr>
        <w:rPr>
          <w:rFonts w:ascii="Times New Roman" w:eastAsia="方正大黑体_GBK" w:hAnsi="Times New Roman" w:cs="Times New Roman"/>
          <w:sz w:val="24"/>
        </w:rPr>
      </w:pPr>
    </w:p>
    <w:p w14:paraId="48999DB8"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This finding supports the assertion that the constructs employed—though interrelated in theory—maintain empirical distinctiveness in the structural model. The results corroborate earlier findings by Gazi et al. (2025) and Abualigah et al. (2024) that advocate for the inclusion of such discriminant tests in environmental behavior research to mitigate multicollinearity and ensure theoretical rigor.</w:t>
      </w:r>
    </w:p>
    <w:p w14:paraId="484474EF"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4.3.3 Normality of Measurement Items</w:t>
      </w:r>
    </w:p>
    <w:p w14:paraId="0546CD8B"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To verify the suitability of maximum likelihood estimation in subsequent structural analyses, univariate normality of the observed indicators was assessed. As detailed in Table 6, the skewness values of all items range between -0.263 and 0.04, and the kurtosis values fall within the interval -1.245 to -0.988. These values are well within the commonly accepted bounds of ±2.0 (Kline, 2016), indicating that the data meet the assumption of univariate normality.</w:t>
      </w:r>
    </w:p>
    <w:p w14:paraId="08480360" w14:textId="77777777" w:rsidR="00147AD9" w:rsidRDefault="00000000">
      <w:pPr>
        <w:jc w:val="center"/>
        <w:rPr>
          <w:rFonts w:ascii="Times New Roman" w:hAnsi="Times New Roman" w:cs="Times New Roman"/>
          <w:sz w:val="22"/>
          <w:szCs w:val="22"/>
        </w:rPr>
      </w:pPr>
      <w:r>
        <w:rPr>
          <w:rFonts w:ascii="Times New Roman" w:eastAsia="宋体" w:hAnsi="Times New Roman" w:cs="Times New Roman"/>
          <w:sz w:val="22"/>
          <w:szCs w:val="22"/>
        </w:rPr>
        <w:t>Table 6  Descriptive Statistics and Normality Test Results for Measurement Items</w:t>
      </w:r>
    </w:p>
    <w:tbl>
      <w:tblPr>
        <w:tblW w:w="4998" w:type="pct"/>
        <w:tblLook w:val="04A0" w:firstRow="1" w:lastRow="0" w:firstColumn="1" w:lastColumn="0" w:noHBand="0" w:noVBand="1"/>
      </w:tblPr>
      <w:tblGrid>
        <w:gridCol w:w="1708"/>
        <w:gridCol w:w="808"/>
        <w:gridCol w:w="807"/>
        <w:gridCol w:w="865"/>
        <w:gridCol w:w="1084"/>
        <w:gridCol w:w="1073"/>
        <w:gridCol w:w="979"/>
        <w:gridCol w:w="979"/>
      </w:tblGrid>
      <w:tr w:rsidR="00147AD9" w14:paraId="2BC7358C" w14:textId="77777777">
        <w:trPr>
          <w:trHeight w:val="540"/>
        </w:trPr>
        <w:tc>
          <w:tcPr>
            <w:tcW w:w="1029" w:type="pct"/>
            <w:tcBorders>
              <w:top w:val="single" w:sz="12" w:space="0" w:color="000000"/>
              <w:left w:val="nil"/>
              <w:bottom w:val="single" w:sz="4" w:space="0" w:color="000000"/>
              <w:right w:val="nil"/>
              <w:tl2br w:val="nil"/>
            </w:tcBorders>
            <w:shd w:val="clear" w:color="auto" w:fill="FFFFFF"/>
            <w:vAlign w:val="center"/>
          </w:tcPr>
          <w:p w14:paraId="4DB61DFD"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Construct</w:t>
            </w:r>
          </w:p>
        </w:tc>
        <w:tc>
          <w:tcPr>
            <w:tcW w:w="488" w:type="pct"/>
            <w:tcBorders>
              <w:top w:val="single" w:sz="12" w:space="0" w:color="000000"/>
              <w:left w:val="nil"/>
              <w:bottom w:val="single" w:sz="4" w:space="0" w:color="000000"/>
              <w:right w:val="nil"/>
            </w:tcBorders>
            <w:shd w:val="clear" w:color="auto" w:fill="FFFFFF"/>
            <w:vAlign w:val="center"/>
          </w:tcPr>
          <w:p w14:paraId="5EA961E1"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Item</w:t>
            </w:r>
          </w:p>
        </w:tc>
        <w:tc>
          <w:tcPr>
            <w:tcW w:w="487" w:type="pct"/>
            <w:tcBorders>
              <w:top w:val="single" w:sz="12" w:space="0" w:color="000000"/>
              <w:left w:val="nil"/>
              <w:bottom w:val="single" w:sz="4" w:space="0" w:color="000000"/>
              <w:right w:val="nil"/>
            </w:tcBorders>
            <w:shd w:val="clear" w:color="auto" w:fill="FFFFFF"/>
            <w:vAlign w:val="center"/>
          </w:tcPr>
          <w:p w14:paraId="231CCEF4"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M</w:t>
            </w:r>
          </w:p>
        </w:tc>
        <w:tc>
          <w:tcPr>
            <w:tcW w:w="521" w:type="pct"/>
            <w:tcBorders>
              <w:top w:val="single" w:sz="12" w:space="0" w:color="000000"/>
              <w:left w:val="nil"/>
              <w:bottom w:val="single" w:sz="4" w:space="0" w:color="000000"/>
              <w:right w:val="nil"/>
            </w:tcBorders>
            <w:shd w:val="clear" w:color="auto" w:fill="FFFFFF"/>
            <w:vAlign w:val="center"/>
          </w:tcPr>
          <w:p w14:paraId="233C34CB"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SD</w:t>
            </w:r>
          </w:p>
        </w:tc>
        <w:tc>
          <w:tcPr>
            <w:tcW w:w="646" w:type="pct"/>
            <w:tcBorders>
              <w:top w:val="single" w:sz="12" w:space="0" w:color="000000"/>
              <w:left w:val="nil"/>
              <w:bottom w:val="single" w:sz="4" w:space="0" w:color="000000"/>
              <w:right w:val="nil"/>
            </w:tcBorders>
            <w:shd w:val="clear" w:color="auto" w:fill="FFFFFF"/>
            <w:vAlign w:val="center"/>
          </w:tcPr>
          <w:p w14:paraId="57C21487"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Skewness</w:t>
            </w:r>
          </w:p>
        </w:tc>
        <w:tc>
          <w:tcPr>
            <w:tcW w:w="646" w:type="pct"/>
            <w:tcBorders>
              <w:top w:val="single" w:sz="12" w:space="0" w:color="000000"/>
              <w:left w:val="nil"/>
              <w:bottom w:val="single" w:sz="4" w:space="0" w:color="000000"/>
              <w:right w:val="nil"/>
            </w:tcBorders>
            <w:shd w:val="clear" w:color="auto" w:fill="FFFFFF"/>
            <w:vAlign w:val="center"/>
          </w:tcPr>
          <w:p w14:paraId="4B9A7581"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Kurtosis</w:t>
            </w:r>
          </w:p>
        </w:tc>
        <w:tc>
          <w:tcPr>
            <w:tcW w:w="589" w:type="pct"/>
            <w:tcBorders>
              <w:top w:val="single" w:sz="12" w:space="0" w:color="000000"/>
              <w:left w:val="nil"/>
              <w:bottom w:val="single" w:sz="4" w:space="0" w:color="000000"/>
              <w:right w:val="nil"/>
            </w:tcBorders>
            <w:shd w:val="clear" w:color="auto" w:fill="FFFFFF"/>
            <w:vAlign w:val="center"/>
          </w:tcPr>
          <w:p w14:paraId="7F9AB65E"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Overall M</w:t>
            </w:r>
          </w:p>
        </w:tc>
        <w:tc>
          <w:tcPr>
            <w:tcW w:w="589" w:type="pct"/>
            <w:tcBorders>
              <w:top w:val="single" w:sz="12" w:space="0" w:color="000000"/>
              <w:left w:val="nil"/>
              <w:bottom w:val="single" w:sz="4" w:space="0" w:color="000000"/>
              <w:right w:val="nil"/>
            </w:tcBorders>
            <w:shd w:val="clear" w:color="auto" w:fill="FFFFFF"/>
            <w:vAlign w:val="center"/>
          </w:tcPr>
          <w:p w14:paraId="6D53328D"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Overall SD</w:t>
            </w:r>
          </w:p>
        </w:tc>
      </w:tr>
      <w:tr w:rsidR="00147AD9" w14:paraId="71B3CEDB" w14:textId="77777777">
        <w:trPr>
          <w:trHeight w:val="810"/>
        </w:trPr>
        <w:tc>
          <w:tcPr>
            <w:tcW w:w="1029" w:type="pct"/>
            <w:tcBorders>
              <w:top w:val="single" w:sz="4" w:space="0" w:color="000000"/>
              <w:left w:val="nil"/>
              <w:bottom w:val="nil"/>
              <w:right w:val="nil"/>
            </w:tcBorders>
            <w:shd w:val="clear" w:color="auto" w:fill="FFFFFF"/>
            <w:vAlign w:val="center"/>
          </w:tcPr>
          <w:p w14:paraId="145E0C1C"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Corporate Green Culture</w:t>
            </w:r>
          </w:p>
        </w:tc>
        <w:tc>
          <w:tcPr>
            <w:tcW w:w="488" w:type="pct"/>
            <w:tcBorders>
              <w:top w:val="single" w:sz="4" w:space="0" w:color="000000"/>
              <w:left w:val="nil"/>
              <w:bottom w:val="nil"/>
              <w:right w:val="nil"/>
            </w:tcBorders>
            <w:shd w:val="clear" w:color="auto" w:fill="FFFFFF"/>
            <w:vAlign w:val="center"/>
          </w:tcPr>
          <w:p w14:paraId="77035640"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CGC1</w:t>
            </w:r>
          </w:p>
        </w:tc>
        <w:tc>
          <w:tcPr>
            <w:tcW w:w="487" w:type="pct"/>
            <w:tcBorders>
              <w:top w:val="single" w:sz="4" w:space="0" w:color="000000"/>
              <w:left w:val="nil"/>
              <w:bottom w:val="nil"/>
              <w:right w:val="nil"/>
            </w:tcBorders>
            <w:shd w:val="clear" w:color="auto" w:fill="FFFFFF"/>
            <w:vAlign w:val="center"/>
          </w:tcPr>
          <w:p w14:paraId="5610CB69"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3.31</w:t>
            </w:r>
          </w:p>
        </w:tc>
        <w:tc>
          <w:tcPr>
            <w:tcW w:w="521" w:type="pct"/>
            <w:tcBorders>
              <w:top w:val="single" w:sz="4" w:space="0" w:color="000000"/>
              <w:left w:val="nil"/>
              <w:bottom w:val="nil"/>
              <w:right w:val="nil"/>
            </w:tcBorders>
            <w:shd w:val="clear" w:color="auto" w:fill="FFFFFF"/>
            <w:vAlign w:val="center"/>
          </w:tcPr>
          <w:p w14:paraId="5D58663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1.129</w:t>
            </w:r>
          </w:p>
        </w:tc>
        <w:tc>
          <w:tcPr>
            <w:tcW w:w="646" w:type="pct"/>
            <w:tcBorders>
              <w:top w:val="single" w:sz="4" w:space="0" w:color="000000"/>
              <w:left w:val="nil"/>
              <w:bottom w:val="nil"/>
              <w:right w:val="nil"/>
            </w:tcBorders>
            <w:shd w:val="clear" w:color="auto" w:fill="FFFFFF"/>
            <w:vAlign w:val="center"/>
          </w:tcPr>
          <w:p w14:paraId="23563B7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-0.04</w:t>
            </w:r>
          </w:p>
        </w:tc>
        <w:tc>
          <w:tcPr>
            <w:tcW w:w="646" w:type="pct"/>
            <w:tcBorders>
              <w:top w:val="single" w:sz="4" w:space="0" w:color="000000"/>
              <w:left w:val="nil"/>
              <w:bottom w:val="nil"/>
              <w:right w:val="nil"/>
            </w:tcBorders>
            <w:shd w:val="clear" w:color="auto" w:fill="FFFFFF"/>
            <w:vAlign w:val="center"/>
          </w:tcPr>
          <w:p w14:paraId="3E347596"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-0.98</w:t>
            </w:r>
          </w:p>
        </w:tc>
        <w:tc>
          <w:tcPr>
            <w:tcW w:w="589" w:type="pct"/>
            <w:tcBorders>
              <w:top w:val="single" w:sz="4" w:space="0" w:color="000000"/>
              <w:left w:val="nil"/>
              <w:bottom w:val="nil"/>
              <w:right w:val="nil"/>
            </w:tcBorders>
            <w:shd w:val="clear" w:color="auto" w:fill="FFFFFF"/>
            <w:vAlign w:val="center"/>
          </w:tcPr>
          <w:p w14:paraId="7D8FD32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3.2967</w:t>
            </w:r>
          </w:p>
        </w:tc>
        <w:tc>
          <w:tcPr>
            <w:tcW w:w="589" w:type="pct"/>
            <w:tcBorders>
              <w:top w:val="single" w:sz="4" w:space="0" w:color="000000"/>
              <w:left w:val="nil"/>
              <w:bottom w:val="nil"/>
              <w:right w:val="nil"/>
            </w:tcBorders>
            <w:shd w:val="clear" w:color="auto" w:fill="FFFFFF"/>
            <w:vAlign w:val="center"/>
          </w:tcPr>
          <w:p w14:paraId="11A4934E"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0.97388</w:t>
            </w:r>
          </w:p>
        </w:tc>
      </w:tr>
      <w:tr w:rsidR="00147AD9" w14:paraId="3E062421" w14:textId="77777777">
        <w:trPr>
          <w:trHeight w:val="270"/>
        </w:trPr>
        <w:tc>
          <w:tcPr>
            <w:tcW w:w="1029" w:type="pct"/>
            <w:tcBorders>
              <w:top w:val="nil"/>
              <w:left w:val="nil"/>
              <w:bottom w:val="nil"/>
              <w:right w:val="nil"/>
            </w:tcBorders>
            <w:shd w:val="clear" w:color="auto" w:fill="FFFFFF"/>
            <w:vAlign w:val="center"/>
          </w:tcPr>
          <w:p w14:paraId="1A139841" w14:textId="77777777" w:rsidR="00147AD9" w:rsidRDefault="00147AD9">
            <w:pPr>
              <w:jc w:val="center"/>
              <w:rPr>
                <w:rFonts w:ascii="Times New Roman" w:eastAsia="宋体" w:hAnsi="Times New Roman" w:cs="Times New Roman"/>
                <w:color w:val="000000"/>
                <w:sz w:val="22"/>
                <w:szCs w:val="22"/>
              </w:rPr>
            </w:pPr>
          </w:p>
        </w:tc>
        <w:tc>
          <w:tcPr>
            <w:tcW w:w="488" w:type="pct"/>
            <w:tcBorders>
              <w:top w:val="nil"/>
              <w:left w:val="nil"/>
              <w:bottom w:val="nil"/>
              <w:right w:val="nil"/>
            </w:tcBorders>
            <w:shd w:val="clear" w:color="auto" w:fill="FFFFFF"/>
            <w:vAlign w:val="center"/>
          </w:tcPr>
          <w:p w14:paraId="7CC4B04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CGC2</w:t>
            </w:r>
          </w:p>
        </w:tc>
        <w:tc>
          <w:tcPr>
            <w:tcW w:w="487" w:type="pct"/>
            <w:tcBorders>
              <w:top w:val="nil"/>
              <w:left w:val="nil"/>
              <w:bottom w:val="nil"/>
              <w:right w:val="nil"/>
            </w:tcBorders>
            <w:shd w:val="clear" w:color="auto" w:fill="FFFFFF"/>
            <w:vAlign w:val="center"/>
          </w:tcPr>
          <w:p w14:paraId="20AB9C9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3.25</w:t>
            </w:r>
          </w:p>
        </w:tc>
        <w:tc>
          <w:tcPr>
            <w:tcW w:w="521" w:type="pct"/>
            <w:tcBorders>
              <w:top w:val="nil"/>
              <w:left w:val="nil"/>
              <w:bottom w:val="nil"/>
              <w:right w:val="nil"/>
            </w:tcBorders>
            <w:shd w:val="clear" w:color="auto" w:fill="FFFFFF"/>
            <w:vAlign w:val="center"/>
          </w:tcPr>
          <w:p w14:paraId="72A40095"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1.149</w:t>
            </w:r>
          </w:p>
        </w:tc>
        <w:tc>
          <w:tcPr>
            <w:tcW w:w="646" w:type="pct"/>
            <w:tcBorders>
              <w:top w:val="nil"/>
              <w:left w:val="nil"/>
              <w:bottom w:val="nil"/>
              <w:right w:val="nil"/>
            </w:tcBorders>
            <w:shd w:val="clear" w:color="auto" w:fill="FFFFFF"/>
            <w:vAlign w:val="center"/>
          </w:tcPr>
          <w:p w14:paraId="18B75442"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-0.003</w:t>
            </w:r>
          </w:p>
        </w:tc>
        <w:tc>
          <w:tcPr>
            <w:tcW w:w="646" w:type="pct"/>
            <w:tcBorders>
              <w:top w:val="nil"/>
              <w:left w:val="nil"/>
              <w:bottom w:val="nil"/>
              <w:right w:val="nil"/>
            </w:tcBorders>
            <w:shd w:val="clear" w:color="auto" w:fill="FFFFFF"/>
            <w:vAlign w:val="center"/>
          </w:tcPr>
          <w:p w14:paraId="4C2832D4"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-0.988</w:t>
            </w:r>
          </w:p>
        </w:tc>
        <w:tc>
          <w:tcPr>
            <w:tcW w:w="589" w:type="pct"/>
            <w:tcBorders>
              <w:top w:val="nil"/>
              <w:left w:val="nil"/>
              <w:bottom w:val="nil"/>
              <w:right w:val="nil"/>
            </w:tcBorders>
            <w:shd w:val="clear" w:color="auto" w:fill="FFFFFF"/>
            <w:vAlign w:val="center"/>
          </w:tcPr>
          <w:p w14:paraId="3D32DA77" w14:textId="77777777" w:rsidR="00147AD9" w:rsidRDefault="00147AD9">
            <w:pPr>
              <w:jc w:val="center"/>
              <w:rPr>
                <w:rFonts w:ascii="Times New Roman" w:eastAsia="宋体" w:hAnsi="Times New Roman" w:cs="Times New Roman"/>
                <w:color w:val="000000"/>
                <w:sz w:val="22"/>
                <w:szCs w:val="22"/>
              </w:rPr>
            </w:pPr>
          </w:p>
        </w:tc>
        <w:tc>
          <w:tcPr>
            <w:tcW w:w="589" w:type="pct"/>
            <w:tcBorders>
              <w:top w:val="nil"/>
              <w:left w:val="nil"/>
              <w:bottom w:val="nil"/>
              <w:right w:val="nil"/>
            </w:tcBorders>
            <w:shd w:val="clear" w:color="auto" w:fill="FFFFFF"/>
            <w:vAlign w:val="center"/>
          </w:tcPr>
          <w:p w14:paraId="62F3CCD6" w14:textId="77777777" w:rsidR="00147AD9" w:rsidRDefault="00147AD9">
            <w:pPr>
              <w:jc w:val="center"/>
              <w:rPr>
                <w:rFonts w:ascii="Times New Roman" w:eastAsia="宋体" w:hAnsi="Times New Roman" w:cs="Times New Roman"/>
                <w:color w:val="000000"/>
                <w:sz w:val="22"/>
                <w:szCs w:val="22"/>
              </w:rPr>
            </w:pPr>
          </w:p>
        </w:tc>
      </w:tr>
      <w:tr w:rsidR="00147AD9" w14:paraId="76668536" w14:textId="77777777">
        <w:trPr>
          <w:trHeight w:val="270"/>
        </w:trPr>
        <w:tc>
          <w:tcPr>
            <w:tcW w:w="1029" w:type="pct"/>
            <w:tcBorders>
              <w:top w:val="nil"/>
              <w:left w:val="nil"/>
              <w:bottom w:val="nil"/>
              <w:right w:val="nil"/>
            </w:tcBorders>
            <w:shd w:val="clear" w:color="auto" w:fill="FFFFFF"/>
            <w:vAlign w:val="center"/>
          </w:tcPr>
          <w:p w14:paraId="0CA4DF88" w14:textId="77777777" w:rsidR="00147AD9" w:rsidRDefault="00147AD9">
            <w:pPr>
              <w:jc w:val="center"/>
              <w:rPr>
                <w:rFonts w:ascii="Times New Roman" w:eastAsia="宋体" w:hAnsi="Times New Roman" w:cs="Times New Roman"/>
                <w:color w:val="000000"/>
                <w:sz w:val="22"/>
                <w:szCs w:val="22"/>
              </w:rPr>
            </w:pPr>
          </w:p>
        </w:tc>
        <w:tc>
          <w:tcPr>
            <w:tcW w:w="488" w:type="pct"/>
            <w:tcBorders>
              <w:top w:val="nil"/>
              <w:left w:val="nil"/>
              <w:bottom w:val="nil"/>
              <w:right w:val="nil"/>
            </w:tcBorders>
            <w:shd w:val="clear" w:color="auto" w:fill="FFFFFF"/>
            <w:vAlign w:val="center"/>
          </w:tcPr>
          <w:p w14:paraId="2C201A35"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CGC3</w:t>
            </w:r>
          </w:p>
        </w:tc>
        <w:tc>
          <w:tcPr>
            <w:tcW w:w="487" w:type="pct"/>
            <w:tcBorders>
              <w:top w:val="nil"/>
              <w:left w:val="nil"/>
              <w:bottom w:val="nil"/>
              <w:right w:val="nil"/>
            </w:tcBorders>
            <w:shd w:val="clear" w:color="auto" w:fill="FFFFFF"/>
            <w:vAlign w:val="center"/>
          </w:tcPr>
          <w:p w14:paraId="669A26C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3.27</w:t>
            </w:r>
          </w:p>
        </w:tc>
        <w:tc>
          <w:tcPr>
            <w:tcW w:w="521" w:type="pct"/>
            <w:tcBorders>
              <w:top w:val="nil"/>
              <w:left w:val="nil"/>
              <w:bottom w:val="nil"/>
              <w:right w:val="nil"/>
            </w:tcBorders>
            <w:shd w:val="clear" w:color="auto" w:fill="FFFFFF"/>
            <w:vAlign w:val="center"/>
          </w:tcPr>
          <w:p w14:paraId="42CDF9EE"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1.187</w:t>
            </w:r>
          </w:p>
        </w:tc>
        <w:tc>
          <w:tcPr>
            <w:tcW w:w="646" w:type="pct"/>
            <w:tcBorders>
              <w:top w:val="nil"/>
              <w:left w:val="nil"/>
              <w:bottom w:val="nil"/>
              <w:right w:val="nil"/>
            </w:tcBorders>
            <w:shd w:val="clear" w:color="auto" w:fill="FFFFFF"/>
            <w:vAlign w:val="center"/>
          </w:tcPr>
          <w:p w14:paraId="72F9F94C"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-0.023</w:t>
            </w:r>
          </w:p>
        </w:tc>
        <w:tc>
          <w:tcPr>
            <w:tcW w:w="646" w:type="pct"/>
            <w:tcBorders>
              <w:top w:val="nil"/>
              <w:left w:val="nil"/>
              <w:bottom w:val="nil"/>
              <w:right w:val="nil"/>
            </w:tcBorders>
            <w:shd w:val="clear" w:color="auto" w:fill="FFFFFF"/>
            <w:vAlign w:val="center"/>
          </w:tcPr>
          <w:p w14:paraId="7ADDD0A4"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-1.161</w:t>
            </w:r>
          </w:p>
        </w:tc>
        <w:tc>
          <w:tcPr>
            <w:tcW w:w="589" w:type="pct"/>
            <w:tcBorders>
              <w:top w:val="nil"/>
              <w:left w:val="nil"/>
              <w:bottom w:val="nil"/>
              <w:right w:val="nil"/>
            </w:tcBorders>
            <w:shd w:val="clear" w:color="auto" w:fill="FFFFFF"/>
            <w:vAlign w:val="center"/>
          </w:tcPr>
          <w:p w14:paraId="2A9A237B" w14:textId="77777777" w:rsidR="00147AD9" w:rsidRDefault="00147AD9">
            <w:pPr>
              <w:jc w:val="center"/>
              <w:rPr>
                <w:rFonts w:ascii="Times New Roman" w:eastAsia="宋体" w:hAnsi="Times New Roman" w:cs="Times New Roman"/>
                <w:color w:val="000000"/>
                <w:sz w:val="22"/>
                <w:szCs w:val="22"/>
              </w:rPr>
            </w:pPr>
          </w:p>
        </w:tc>
        <w:tc>
          <w:tcPr>
            <w:tcW w:w="589" w:type="pct"/>
            <w:tcBorders>
              <w:top w:val="nil"/>
              <w:left w:val="nil"/>
              <w:bottom w:val="nil"/>
              <w:right w:val="nil"/>
            </w:tcBorders>
            <w:shd w:val="clear" w:color="auto" w:fill="FFFFFF"/>
            <w:vAlign w:val="center"/>
          </w:tcPr>
          <w:p w14:paraId="765001EB" w14:textId="77777777" w:rsidR="00147AD9" w:rsidRDefault="00147AD9">
            <w:pPr>
              <w:jc w:val="center"/>
              <w:rPr>
                <w:rFonts w:ascii="Times New Roman" w:eastAsia="宋体" w:hAnsi="Times New Roman" w:cs="Times New Roman"/>
                <w:color w:val="000000"/>
                <w:sz w:val="22"/>
                <w:szCs w:val="22"/>
              </w:rPr>
            </w:pPr>
          </w:p>
        </w:tc>
      </w:tr>
      <w:tr w:rsidR="00147AD9" w14:paraId="47906953" w14:textId="77777777">
        <w:trPr>
          <w:trHeight w:val="270"/>
        </w:trPr>
        <w:tc>
          <w:tcPr>
            <w:tcW w:w="1029" w:type="pct"/>
            <w:tcBorders>
              <w:top w:val="nil"/>
              <w:left w:val="nil"/>
              <w:bottom w:val="nil"/>
              <w:right w:val="nil"/>
            </w:tcBorders>
            <w:shd w:val="clear" w:color="auto" w:fill="FFFFFF"/>
            <w:vAlign w:val="center"/>
          </w:tcPr>
          <w:p w14:paraId="561157BC" w14:textId="77777777" w:rsidR="00147AD9" w:rsidRDefault="00147AD9">
            <w:pPr>
              <w:jc w:val="center"/>
              <w:rPr>
                <w:rFonts w:ascii="Times New Roman" w:eastAsia="宋体" w:hAnsi="Times New Roman" w:cs="Times New Roman"/>
                <w:color w:val="000000"/>
                <w:sz w:val="22"/>
                <w:szCs w:val="22"/>
              </w:rPr>
            </w:pPr>
          </w:p>
        </w:tc>
        <w:tc>
          <w:tcPr>
            <w:tcW w:w="488" w:type="pct"/>
            <w:tcBorders>
              <w:top w:val="nil"/>
              <w:left w:val="nil"/>
              <w:bottom w:val="nil"/>
              <w:right w:val="nil"/>
            </w:tcBorders>
            <w:shd w:val="clear" w:color="auto" w:fill="FFFFFF"/>
            <w:vAlign w:val="center"/>
          </w:tcPr>
          <w:p w14:paraId="725FAF85"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CGC4</w:t>
            </w:r>
          </w:p>
        </w:tc>
        <w:tc>
          <w:tcPr>
            <w:tcW w:w="487" w:type="pct"/>
            <w:tcBorders>
              <w:top w:val="nil"/>
              <w:left w:val="nil"/>
              <w:bottom w:val="nil"/>
              <w:right w:val="nil"/>
            </w:tcBorders>
            <w:shd w:val="clear" w:color="auto" w:fill="FFFFFF"/>
            <w:vAlign w:val="center"/>
          </w:tcPr>
          <w:p w14:paraId="5BDD748E"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3.35</w:t>
            </w:r>
          </w:p>
        </w:tc>
        <w:tc>
          <w:tcPr>
            <w:tcW w:w="521" w:type="pct"/>
            <w:tcBorders>
              <w:top w:val="nil"/>
              <w:left w:val="nil"/>
              <w:bottom w:val="nil"/>
              <w:right w:val="nil"/>
            </w:tcBorders>
            <w:shd w:val="clear" w:color="auto" w:fill="FFFFFF"/>
            <w:vAlign w:val="center"/>
          </w:tcPr>
          <w:p w14:paraId="59CD538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1.171</w:t>
            </w:r>
          </w:p>
        </w:tc>
        <w:tc>
          <w:tcPr>
            <w:tcW w:w="646" w:type="pct"/>
            <w:tcBorders>
              <w:top w:val="nil"/>
              <w:left w:val="nil"/>
              <w:bottom w:val="nil"/>
              <w:right w:val="nil"/>
            </w:tcBorders>
            <w:shd w:val="clear" w:color="auto" w:fill="FFFFFF"/>
            <w:vAlign w:val="center"/>
          </w:tcPr>
          <w:p w14:paraId="35099FF5"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-0.049</w:t>
            </w:r>
          </w:p>
        </w:tc>
        <w:tc>
          <w:tcPr>
            <w:tcW w:w="646" w:type="pct"/>
            <w:tcBorders>
              <w:top w:val="nil"/>
              <w:left w:val="nil"/>
              <w:bottom w:val="nil"/>
              <w:right w:val="nil"/>
            </w:tcBorders>
            <w:shd w:val="clear" w:color="auto" w:fill="FFFFFF"/>
            <w:vAlign w:val="center"/>
          </w:tcPr>
          <w:p w14:paraId="4D4A4BE6"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-1.238</w:t>
            </w:r>
          </w:p>
        </w:tc>
        <w:tc>
          <w:tcPr>
            <w:tcW w:w="589" w:type="pct"/>
            <w:tcBorders>
              <w:top w:val="nil"/>
              <w:left w:val="nil"/>
              <w:bottom w:val="nil"/>
              <w:right w:val="nil"/>
            </w:tcBorders>
            <w:shd w:val="clear" w:color="auto" w:fill="FFFFFF"/>
            <w:vAlign w:val="center"/>
          </w:tcPr>
          <w:p w14:paraId="364EA4DA" w14:textId="77777777" w:rsidR="00147AD9" w:rsidRDefault="00147AD9">
            <w:pPr>
              <w:jc w:val="center"/>
              <w:rPr>
                <w:rFonts w:ascii="Times New Roman" w:eastAsia="宋体" w:hAnsi="Times New Roman" w:cs="Times New Roman"/>
                <w:color w:val="000000"/>
                <w:sz w:val="22"/>
                <w:szCs w:val="22"/>
              </w:rPr>
            </w:pPr>
          </w:p>
        </w:tc>
        <w:tc>
          <w:tcPr>
            <w:tcW w:w="589" w:type="pct"/>
            <w:tcBorders>
              <w:top w:val="nil"/>
              <w:left w:val="nil"/>
              <w:bottom w:val="nil"/>
              <w:right w:val="nil"/>
            </w:tcBorders>
            <w:shd w:val="clear" w:color="auto" w:fill="FFFFFF"/>
            <w:vAlign w:val="center"/>
          </w:tcPr>
          <w:p w14:paraId="02170110" w14:textId="77777777" w:rsidR="00147AD9" w:rsidRDefault="00147AD9">
            <w:pPr>
              <w:jc w:val="center"/>
              <w:rPr>
                <w:rFonts w:ascii="Times New Roman" w:eastAsia="宋体" w:hAnsi="Times New Roman" w:cs="Times New Roman"/>
                <w:color w:val="000000"/>
                <w:sz w:val="22"/>
                <w:szCs w:val="22"/>
              </w:rPr>
            </w:pPr>
          </w:p>
        </w:tc>
      </w:tr>
      <w:tr w:rsidR="00147AD9" w14:paraId="631BA1D8" w14:textId="77777777">
        <w:trPr>
          <w:trHeight w:val="540"/>
        </w:trPr>
        <w:tc>
          <w:tcPr>
            <w:tcW w:w="1029" w:type="pct"/>
            <w:tcBorders>
              <w:top w:val="nil"/>
              <w:left w:val="nil"/>
              <w:bottom w:val="nil"/>
              <w:right w:val="nil"/>
            </w:tcBorders>
            <w:shd w:val="clear" w:color="auto" w:fill="FFFFFF"/>
            <w:vAlign w:val="center"/>
          </w:tcPr>
          <w:p w14:paraId="0A257CEF"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Green Leadership</w:t>
            </w:r>
          </w:p>
        </w:tc>
        <w:tc>
          <w:tcPr>
            <w:tcW w:w="488" w:type="pct"/>
            <w:tcBorders>
              <w:top w:val="nil"/>
              <w:left w:val="nil"/>
              <w:bottom w:val="nil"/>
              <w:right w:val="nil"/>
            </w:tcBorders>
            <w:shd w:val="clear" w:color="auto" w:fill="FFFFFF"/>
            <w:vAlign w:val="center"/>
          </w:tcPr>
          <w:p w14:paraId="5B3696E4"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GL1</w:t>
            </w:r>
          </w:p>
        </w:tc>
        <w:tc>
          <w:tcPr>
            <w:tcW w:w="487" w:type="pct"/>
            <w:tcBorders>
              <w:top w:val="nil"/>
              <w:left w:val="nil"/>
              <w:bottom w:val="nil"/>
              <w:right w:val="nil"/>
            </w:tcBorders>
            <w:shd w:val="clear" w:color="auto" w:fill="FFFFFF"/>
            <w:vAlign w:val="center"/>
          </w:tcPr>
          <w:p w14:paraId="5847A04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3.32</w:t>
            </w:r>
          </w:p>
        </w:tc>
        <w:tc>
          <w:tcPr>
            <w:tcW w:w="521" w:type="pct"/>
            <w:tcBorders>
              <w:top w:val="nil"/>
              <w:left w:val="nil"/>
              <w:bottom w:val="nil"/>
              <w:right w:val="nil"/>
            </w:tcBorders>
            <w:shd w:val="clear" w:color="auto" w:fill="FFFFFF"/>
            <w:vAlign w:val="center"/>
          </w:tcPr>
          <w:p w14:paraId="4EDC18B5"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1.155</w:t>
            </w:r>
          </w:p>
        </w:tc>
        <w:tc>
          <w:tcPr>
            <w:tcW w:w="646" w:type="pct"/>
            <w:tcBorders>
              <w:top w:val="nil"/>
              <w:left w:val="nil"/>
              <w:bottom w:val="nil"/>
              <w:right w:val="nil"/>
            </w:tcBorders>
            <w:shd w:val="clear" w:color="auto" w:fill="FFFFFF"/>
            <w:vAlign w:val="center"/>
          </w:tcPr>
          <w:p w14:paraId="6CACC6F2"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0.003</w:t>
            </w:r>
          </w:p>
        </w:tc>
        <w:tc>
          <w:tcPr>
            <w:tcW w:w="646" w:type="pct"/>
            <w:tcBorders>
              <w:top w:val="nil"/>
              <w:left w:val="nil"/>
              <w:bottom w:val="nil"/>
              <w:right w:val="nil"/>
            </w:tcBorders>
            <w:shd w:val="clear" w:color="auto" w:fill="FFFFFF"/>
            <w:vAlign w:val="center"/>
          </w:tcPr>
          <w:p w14:paraId="3B592109"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-1.148</w:t>
            </w:r>
          </w:p>
        </w:tc>
        <w:tc>
          <w:tcPr>
            <w:tcW w:w="589" w:type="pct"/>
            <w:tcBorders>
              <w:top w:val="nil"/>
              <w:left w:val="nil"/>
              <w:bottom w:val="nil"/>
              <w:right w:val="nil"/>
            </w:tcBorders>
            <w:shd w:val="clear" w:color="auto" w:fill="FFFFFF"/>
            <w:vAlign w:val="center"/>
          </w:tcPr>
          <w:p w14:paraId="65551821"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3.3307</w:t>
            </w:r>
          </w:p>
        </w:tc>
        <w:tc>
          <w:tcPr>
            <w:tcW w:w="589" w:type="pct"/>
            <w:tcBorders>
              <w:top w:val="nil"/>
              <w:left w:val="nil"/>
              <w:bottom w:val="nil"/>
              <w:right w:val="nil"/>
            </w:tcBorders>
            <w:shd w:val="clear" w:color="auto" w:fill="FFFFFF"/>
            <w:vAlign w:val="center"/>
          </w:tcPr>
          <w:p w14:paraId="0C8B9D3B"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0.96192</w:t>
            </w:r>
          </w:p>
        </w:tc>
      </w:tr>
      <w:tr w:rsidR="00147AD9" w14:paraId="2ADD75E0" w14:textId="77777777">
        <w:trPr>
          <w:trHeight w:val="270"/>
        </w:trPr>
        <w:tc>
          <w:tcPr>
            <w:tcW w:w="1029" w:type="pct"/>
            <w:tcBorders>
              <w:top w:val="nil"/>
              <w:left w:val="nil"/>
              <w:bottom w:val="nil"/>
              <w:right w:val="nil"/>
            </w:tcBorders>
            <w:shd w:val="clear" w:color="auto" w:fill="FFFFFF"/>
            <w:vAlign w:val="center"/>
          </w:tcPr>
          <w:p w14:paraId="361CCB43" w14:textId="77777777" w:rsidR="00147AD9" w:rsidRDefault="00147AD9">
            <w:pPr>
              <w:jc w:val="center"/>
              <w:rPr>
                <w:rFonts w:ascii="Times New Roman" w:eastAsia="宋体" w:hAnsi="Times New Roman" w:cs="Times New Roman"/>
                <w:color w:val="000000"/>
                <w:sz w:val="22"/>
                <w:szCs w:val="22"/>
              </w:rPr>
            </w:pPr>
          </w:p>
        </w:tc>
        <w:tc>
          <w:tcPr>
            <w:tcW w:w="488" w:type="pct"/>
            <w:tcBorders>
              <w:top w:val="nil"/>
              <w:left w:val="nil"/>
              <w:bottom w:val="nil"/>
              <w:right w:val="nil"/>
            </w:tcBorders>
            <w:shd w:val="clear" w:color="auto" w:fill="FFFFFF"/>
            <w:vAlign w:val="center"/>
          </w:tcPr>
          <w:p w14:paraId="09AEA37B"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GL2</w:t>
            </w:r>
          </w:p>
        </w:tc>
        <w:tc>
          <w:tcPr>
            <w:tcW w:w="487" w:type="pct"/>
            <w:tcBorders>
              <w:top w:val="nil"/>
              <w:left w:val="nil"/>
              <w:bottom w:val="nil"/>
              <w:right w:val="nil"/>
            </w:tcBorders>
            <w:shd w:val="clear" w:color="auto" w:fill="FFFFFF"/>
            <w:vAlign w:val="center"/>
          </w:tcPr>
          <w:p w14:paraId="0BC26CDE"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3.29</w:t>
            </w:r>
          </w:p>
        </w:tc>
        <w:tc>
          <w:tcPr>
            <w:tcW w:w="521" w:type="pct"/>
            <w:tcBorders>
              <w:top w:val="nil"/>
              <w:left w:val="nil"/>
              <w:bottom w:val="nil"/>
              <w:right w:val="nil"/>
            </w:tcBorders>
            <w:shd w:val="clear" w:color="auto" w:fill="FFFFFF"/>
            <w:vAlign w:val="center"/>
          </w:tcPr>
          <w:p w14:paraId="3CD7498E"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1.139</w:t>
            </w:r>
          </w:p>
        </w:tc>
        <w:tc>
          <w:tcPr>
            <w:tcW w:w="646" w:type="pct"/>
            <w:tcBorders>
              <w:top w:val="nil"/>
              <w:left w:val="nil"/>
              <w:bottom w:val="nil"/>
              <w:right w:val="nil"/>
            </w:tcBorders>
            <w:shd w:val="clear" w:color="auto" w:fill="FFFFFF"/>
            <w:vAlign w:val="center"/>
          </w:tcPr>
          <w:p w14:paraId="2A2D9C50"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-0.004</w:t>
            </w:r>
          </w:p>
        </w:tc>
        <w:tc>
          <w:tcPr>
            <w:tcW w:w="646" w:type="pct"/>
            <w:tcBorders>
              <w:top w:val="nil"/>
              <w:left w:val="nil"/>
              <w:bottom w:val="nil"/>
              <w:right w:val="nil"/>
            </w:tcBorders>
            <w:shd w:val="clear" w:color="auto" w:fill="FFFFFF"/>
            <w:vAlign w:val="center"/>
          </w:tcPr>
          <w:p w14:paraId="32D266BB"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-1.058</w:t>
            </w:r>
          </w:p>
        </w:tc>
        <w:tc>
          <w:tcPr>
            <w:tcW w:w="589" w:type="pct"/>
            <w:tcBorders>
              <w:top w:val="nil"/>
              <w:left w:val="nil"/>
              <w:bottom w:val="nil"/>
              <w:right w:val="nil"/>
            </w:tcBorders>
            <w:shd w:val="clear" w:color="auto" w:fill="FFFFFF"/>
            <w:vAlign w:val="center"/>
          </w:tcPr>
          <w:p w14:paraId="4CBBDA37" w14:textId="77777777" w:rsidR="00147AD9" w:rsidRDefault="00147AD9">
            <w:pPr>
              <w:jc w:val="center"/>
              <w:rPr>
                <w:rFonts w:ascii="Times New Roman" w:eastAsia="宋体" w:hAnsi="Times New Roman" w:cs="Times New Roman"/>
                <w:color w:val="000000"/>
                <w:sz w:val="22"/>
                <w:szCs w:val="22"/>
              </w:rPr>
            </w:pPr>
          </w:p>
        </w:tc>
        <w:tc>
          <w:tcPr>
            <w:tcW w:w="589" w:type="pct"/>
            <w:tcBorders>
              <w:top w:val="nil"/>
              <w:left w:val="nil"/>
              <w:bottom w:val="nil"/>
              <w:right w:val="nil"/>
            </w:tcBorders>
            <w:shd w:val="clear" w:color="auto" w:fill="FFFFFF"/>
            <w:vAlign w:val="center"/>
          </w:tcPr>
          <w:p w14:paraId="5DAF585B" w14:textId="77777777" w:rsidR="00147AD9" w:rsidRDefault="00147AD9">
            <w:pPr>
              <w:jc w:val="center"/>
              <w:rPr>
                <w:rFonts w:ascii="Times New Roman" w:eastAsia="宋体" w:hAnsi="Times New Roman" w:cs="Times New Roman"/>
                <w:color w:val="000000"/>
                <w:sz w:val="22"/>
                <w:szCs w:val="22"/>
              </w:rPr>
            </w:pPr>
          </w:p>
        </w:tc>
      </w:tr>
      <w:tr w:rsidR="00147AD9" w14:paraId="54345B29" w14:textId="77777777">
        <w:trPr>
          <w:trHeight w:val="270"/>
        </w:trPr>
        <w:tc>
          <w:tcPr>
            <w:tcW w:w="1029" w:type="pct"/>
            <w:tcBorders>
              <w:top w:val="nil"/>
              <w:left w:val="nil"/>
              <w:bottom w:val="nil"/>
              <w:right w:val="nil"/>
            </w:tcBorders>
            <w:shd w:val="clear" w:color="auto" w:fill="FFFFFF"/>
            <w:vAlign w:val="center"/>
          </w:tcPr>
          <w:p w14:paraId="0CFFCB8C" w14:textId="77777777" w:rsidR="00147AD9" w:rsidRDefault="00147AD9">
            <w:pPr>
              <w:jc w:val="center"/>
              <w:rPr>
                <w:rFonts w:ascii="Times New Roman" w:eastAsia="宋体" w:hAnsi="Times New Roman" w:cs="Times New Roman"/>
                <w:color w:val="000000"/>
                <w:sz w:val="22"/>
                <w:szCs w:val="22"/>
              </w:rPr>
            </w:pPr>
          </w:p>
        </w:tc>
        <w:tc>
          <w:tcPr>
            <w:tcW w:w="488" w:type="pct"/>
            <w:tcBorders>
              <w:top w:val="nil"/>
              <w:left w:val="nil"/>
              <w:bottom w:val="nil"/>
              <w:right w:val="nil"/>
            </w:tcBorders>
            <w:shd w:val="clear" w:color="auto" w:fill="FFFFFF"/>
            <w:vAlign w:val="center"/>
          </w:tcPr>
          <w:p w14:paraId="4C30840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GL3</w:t>
            </w:r>
          </w:p>
        </w:tc>
        <w:tc>
          <w:tcPr>
            <w:tcW w:w="487" w:type="pct"/>
            <w:tcBorders>
              <w:top w:val="nil"/>
              <w:left w:val="nil"/>
              <w:bottom w:val="nil"/>
              <w:right w:val="nil"/>
            </w:tcBorders>
            <w:shd w:val="clear" w:color="auto" w:fill="FFFFFF"/>
            <w:vAlign w:val="center"/>
          </w:tcPr>
          <w:p w14:paraId="7C4646B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3.36</w:t>
            </w:r>
          </w:p>
        </w:tc>
        <w:tc>
          <w:tcPr>
            <w:tcW w:w="521" w:type="pct"/>
            <w:tcBorders>
              <w:top w:val="nil"/>
              <w:left w:val="nil"/>
              <w:bottom w:val="nil"/>
              <w:right w:val="nil"/>
            </w:tcBorders>
            <w:shd w:val="clear" w:color="auto" w:fill="FFFFFF"/>
            <w:vAlign w:val="center"/>
          </w:tcPr>
          <w:p w14:paraId="2F143845"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1.167</w:t>
            </w:r>
          </w:p>
        </w:tc>
        <w:tc>
          <w:tcPr>
            <w:tcW w:w="646" w:type="pct"/>
            <w:tcBorders>
              <w:top w:val="nil"/>
              <w:left w:val="nil"/>
              <w:bottom w:val="nil"/>
              <w:right w:val="nil"/>
            </w:tcBorders>
            <w:shd w:val="clear" w:color="auto" w:fill="FFFFFF"/>
            <w:vAlign w:val="center"/>
          </w:tcPr>
          <w:p w14:paraId="35BF7BB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-0.088</w:t>
            </w:r>
          </w:p>
        </w:tc>
        <w:tc>
          <w:tcPr>
            <w:tcW w:w="646" w:type="pct"/>
            <w:tcBorders>
              <w:top w:val="nil"/>
              <w:left w:val="nil"/>
              <w:bottom w:val="nil"/>
              <w:right w:val="nil"/>
            </w:tcBorders>
            <w:shd w:val="clear" w:color="auto" w:fill="FFFFFF"/>
            <w:vAlign w:val="center"/>
          </w:tcPr>
          <w:p w14:paraId="0DFA14B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-1.088</w:t>
            </w:r>
          </w:p>
        </w:tc>
        <w:tc>
          <w:tcPr>
            <w:tcW w:w="589" w:type="pct"/>
            <w:tcBorders>
              <w:top w:val="nil"/>
              <w:left w:val="nil"/>
              <w:bottom w:val="nil"/>
              <w:right w:val="nil"/>
            </w:tcBorders>
            <w:shd w:val="clear" w:color="auto" w:fill="FFFFFF"/>
            <w:vAlign w:val="center"/>
          </w:tcPr>
          <w:p w14:paraId="4DF98646" w14:textId="77777777" w:rsidR="00147AD9" w:rsidRDefault="00147AD9">
            <w:pPr>
              <w:jc w:val="center"/>
              <w:rPr>
                <w:rFonts w:ascii="Times New Roman" w:eastAsia="宋体" w:hAnsi="Times New Roman" w:cs="Times New Roman"/>
                <w:color w:val="000000"/>
                <w:sz w:val="22"/>
                <w:szCs w:val="22"/>
              </w:rPr>
            </w:pPr>
          </w:p>
        </w:tc>
        <w:tc>
          <w:tcPr>
            <w:tcW w:w="589" w:type="pct"/>
            <w:tcBorders>
              <w:top w:val="nil"/>
              <w:left w:val="nil"/>
              <w:bottom w:val="nil"/>
              <w:right w:val="nil"/>
            </w:tcBorders>
            <w:shd w:val="clear" w:color="auto" w:fill="FFFFFF"/>
            <w:vAlign w:val="center"/>
          </w:tcPr>
          <w:p w14:paraId="78A10471" w14:textId="77777777" w:rsidR="00147AD9" w:rsidRDefault="00147AD9">
            <w:pPr>
              <w:jc w:val="center"/>
              <w:rPr>
                <w:rFonts w:ascii="Times New Roman" w:eastAsia="宋体" w:hAnsi="Times New Roman" w:cs="Times New Roman"/>
                <w:color w:val="000000"/>
                <w:sz w:val="22"/>
                <w:szCs w:val="22"/>
              </w:rPr>
            </w:pPr>
          </w:p>
        </w:tc>
      </w:tr>
      <w:tr w:rsidR="00147AD9" w14:paraId="4A5EC915" w14:textId="77777777">
        <w:trPr>
          <w:trHeight w:val="270"/>
        </w:trPr>
        <w:tc>
          <w:tcPr>
            <w:tcW w:w="1029" w:type="pct"/>
            <w:tcBorders>
              <w:top w:val="nil"/>
              <w:left w:val="nil"/>
              <w:bottom w:val="nil"/>
              <w:right w:val="nil"/>
            </w:tcBorders>
            <w:shd w:val="clear" w:color="auto" w:fill="FFFFFF"/>
            <w:vAlign w:val="center"/>
          </w:tcPr>
          <w:p w14:paraId="779A1453" w14:textId="77777777" w:rsidR="00147AD9" w:rsidRDefault="00147AD9">
            <w:pPr>
              <w:jc w:val="center"/>
              <w:rPr>
                <w:rFonts w:ascii="Times New Roman" w:eastAsia="宋体" w:hAnsi="Times New Roman" w:cs="Times New Roman"/>
                <w:color w:val="000000"/>
                <w:sz w:val="22"/>
                <w:szCs w:val="22"/>
              </w:rPr>
            </w:pPr>
          </w:p>
        </w:tc>
        <w:tc>
          <w:tcPr>
            <w:tcW w:w="488" w:type="pct"/>
            <w:tcBorders>
              <w:top w:val="nil"/>
              <w:left w:val="nil"/>
              <w:bottom w:val="nil"/>
              <w:right w:val="nil"/>
            </w:tcBorders>
            <w:shd w:val="clear" w:color="auto" w:fill="FFFFFF"/>
            <w:vAlign w:val="center"/>
          </w:tcPr>
          <w:p w14:paraId="6D0AAB96"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GL4</w:t>
            </w:r>
          </w:p>
        </w:tc>
        <w:tc>
          <w:tcPr>
            <w:tcW w:w="487" w:type="pct"/>
            <w:tcBorders>
              <w:top w:val="nil"/>
              <w:left w:val="nil"/>
              <w:bottom w:val="nil"/>
              <w:right w:val="nil"/>
            </w:tcBorders>
            <w:shd w:val="clear" w:color="auto" w:fill="FFFFFF"/>
            <w:vAlign w:val="center"/>
          </w:tcPr>
          <w:p w14:paraId="4D65880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3.35</w:t>
            </w:r>
          </w:p>
        </w:tc>
        <w:tc>
          <w:tcPr>
            <w:tcW w:w="521" w:type="pct"/>
            <w:tcBorders>
              <w:top w:val="nil"/>
              <w:left w:val="nil"/>
              <w:bottom w:val="nil"/>
              <w:right w:val="nil"/>
            </w:tcBorders>
            <w:shd w:val="clear" w:color="auto" w:fill="FFFFFF"/>
            <w:vAlign w:val="center"/>
          </w:tcPr>
          <w:p w14:paraId="4B1FB1EE"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1.139</w:t>
            </w:r>
          </w:p>
        </w:tc>
        <w:tc>
          <w:tcPr>
            <w:tcW w:w="646" w:type="pct"/>
            <w:tcBorders>
              <w:top w:val="nil"/>
              <w:left w:val="nil"/>
              <w:bottom w:val="nil"/>
              <w:right w:val="nil"/>
            </w:tcBorders>
            <w:shd w:val="clear" w:color="auto" w:fill="FFFFFF"/>
            <w:vAlign w:val="center"/>
          </w:tcPr>
          <w:p w14:paraId="19F9E54F"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-0.065</w:t>
            </w:r>
          </w:p>
        </w:tc>
        <w:tc>
          <w:tcPr>
            <w:tcW w:w="646" w:type="pct"/>
            <w:tcBorders>
              <w:top w:val="nil"/>
              <w:left w:val="nil"/>
              <w:bottom w:val="nil"/>
              <w:right w:val="nil"/>
            </w:tcBorders>
            <w:shd w:val="clear" w:color="auto" w:fill="FFFFFF"/>
            <w:vAlign w:val="center"/>
          </w:tcPr>
          <w:p w14:paraId="22DEC61E"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-1.138</w:t>
            </w:r>
          </w:p>
        </w:tc>
        <w:tc>
          <w:tcPr>
            <w:tcW w:w="589" w:type="pct"/>
            <w:tcBorders>
              <w:top w:val="nil"/>
              <w:left w:val="nil"/>
              <w:bottom w:val="nil"/>
              <w:right w:val="nil"/>
            </w:tcBorders>
            <w:shd w:val="clear" w:color="auto" w:fill="FFFFFF"/>
            <w:vAlign w:val="center"/>
          </w:tcPr>
          <w:p w14:paraId="57632C23" w14:textId="77777777" w:rsidR="00147AD9" w:rsidRDefault="00147AD9">
            <w:pPr>
              <w:jc w:val="center"/>
              <w:rPr>
                <w:rFonts w:ascii="Times New Roman" w:eastAsia="宋体" w:hAnsi="Times New Roman" w:cs="Times New Roman"/>
                <w:color w:val="000000"/>
                <w:sz w:val="22"/>
                <w:szCs w:val="22"/>
              </w:rPr>
            </w:pPr>
          </w:p>
        </w:tc>
        <w:tc>
          <w:tcPr>
            <w:tcW w:w="589" w:type="pct"/>
            <w:tcBorders>
              <w:top w:val="nil"/>
              <w:left w:val="nil"/>
              <w:bottom w:val="nil"/>
              <w:right w:val="nil"/>
            </w:tcBorders>
            <w:shd w:val="clear" w:color="auto" w:fill="FFFFFF"/>
            <w:vAlign w:val="center"/>
          </w:tcPr>
          <w:p w14:paraId="12A1203F" w14:textId="77777777" w:rsidR="00147AD9" w:rsidRDefault="00147AD9">
            <w:pPr>
              <w:jc w:val="center"/>
              <w:rPr>
                <w:rFonts w:ascii="Times New Roman" w:eastAsia="宋体" w:hAnsi="Times New Roman" w:cs="Times New Roman"/>
                <w:color w:val="000000"/>
                <w:sz w:val="22"/>
                <w:szCs w:val="22"/>
              </w:rPr>
            </w:pPr>
          </w:p>
        </w:tc>
      </w:tr>
      <w:tr w:rsidR="00147AD9" w14:paraId="00D1C00A" w14:textId="77777777">
        <w:trPr>
          <w:trHeight w:val="540"/>
        </w:trPr>
        <w:tc>
          <w:tcPr>
            <w:tcW w:w="1029" w:type="pct"/>
            <w:tcBorders>
              <w:top w:val="nil"/>
              <w:left w:val="nil"/>
              <w:bottom w:val="nil"/>
              <w:right w:val="nil"/>
            </w:tcBorders>
            <w:shd w:val="clear" w:color="auto" w:fill="FFFFFF"/>
            <w:vAlign w:val="center"/>
          </w:tcPr>
          <w:p w14:paraId="31550D50"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Psychological Contract</w:t>
            </w:r>
          </w:p>
        </w:tc>
        <w:tc>
          <w:tcPr>
            <w:tcW w:w="488" w:type="pct"/>
            <w:tcBorders>
              <w:top w:val="nil"/>
              <w:left w:val="nil"/>
              <w:bottom w:val="nil"/>
              <w:right w:val="nil"/>
            </w:tcBorders>
            <w:shd w:val="clear" w:color="auto" w:fill="FFFFFF"/>
            <w:vAlign w:val="center"/>
          </w:tcPr>
          <w:p w14:paraId="26EC7202"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PC1</w:t>
            </w:r>
          </w:p>
        </w:tc>
        <w:tc>
          <w:tcPr>
            <w:tcW w:w="487" w:type="pct"/>
            <w:tcBorders>
              <w:top w:val="nil"/>
              <w:left w:val="nil"/>
              <w:bottom w:val="nil"/>
              <w:right w:val="nil"/>
            </w:tcBorders>
            <w:shd w:val="clear" w:color="auto" w:fill="FFFFFF"/>
            <w:vAlign w:val="center"/>
          </w:tcPr>
          <w:p w14:paraId="57DE7631"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3.35</w:t>
            </w:r>
          </w:p>
        </w:tc>
        <w:tc>
          <w:tcPr>
            <w:tcW w:w="521" w:type="pct"/>
            <w:tcBorders>
              <w:top w:val="nil"/>
              <w:left w:val="nil"/>
              <w:bottom w:val="nil"/>
              <w:right w:val="nil"/>
            </w:tcBorders>
            <w:shd w:val="clear" w:color="auto" w:fill="FFFFFF"/>
            <w:vAlign w:val="center"/>
          </w:tcPr>
          <w:p w14:paraId="0C6909E0"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1.153</w:t>
            </w:r>
          </w:p>
        </w:tc>
        <w:tc>
          <w:tcPr>
            <w:tcW w:w="646" w:type="pct"/>
            <w:tcBorders>
              <w:top w:val="nil"/>
              <w:left w:val="nil"/>
              <w:bottom w:val="nil"/>
              <w:right w:val="nil"/>
            </w:tcBorders>
            <w:shd w:val="clear" w:color="auto" w:fill="FFFFFF"/>
            <w:vAlign w:val="center"/>
          </w:tcPr>
          <w:p w14:paraId="34AC8236"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-0.04</w:t>
            </w:r>
          </w:p>
        </w:tc>
        <w:tc>
          <w:tcPr>
            <w:tcW w:w="646" w:type="pct"/>
            <w:tcBorders>
              <w:top w:val="nil"/>
              <w:left w:val="nil"/>
              <w:bottom w:val="nil"/>
              <w:right w:val="nil"/>
            </w:tcBorders>
            <w:shd w:val="clear" w:color="auto" w:fill="FFFFFF"/>
            <w:vAlign w:val="center"/>
          </w:tcPr>
          <w:p w14:paraId="590C0F0F"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-1.14</w:t>
            </w:r>
          </w:p>
        </w:tc>
        <w:tc>
          <w:tcPr>
            <w:tcW w:w="589" w:type="pct"/>
            <w:tcBorders>
              <w:top w:val="nil"/>
              <w:left w:val="nil"/>
              <w:bottom w:val="nil"/>
              <w:right w:val="nil"/>
            </w:tcBorders>
            <w:shd w:val="clear" w:color="auto" w:fill="FFFFFF"/>
            <w:vAlign w:val="center"/>
          </w:tcPr>
          <w:p w14:paraId="3EAA8A31"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3.4072</w:t>
            </w:r>
          </w:p>
        </w:tc>
        <w:tc>
          <w:tcPr>
            <w:tcW w:w="589" w:type="pct"/>
            <w:tcBorders>
              <w:top w:val="nil"/>
              <w:left w:val="nil"/>
              <w:bottom w:val="nil"/>
              <w:right w:val="nil"/>
            </w:tcBorders>
            <w:shd w:val="clear" w:color="auto" w:fill="FFFFFF"/>
            <w:vAlign w:val="center"/>
          </w:tcPr>
          <w:p w14:paraId="2F84482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0.98771</w:t>
            </w:r>
          </w:p>
        </w:tc>
      </w:tr>
      <w:tr w:rsidR="00147AD9" w14:paraId="15BC296C" w14:textId="77777777">
        <w:trPr>
          <w:trHeight w:val="270"/>
        </w:trPr>
        <w:tc>
          <w:tcPr>
            <w:tcW w:w="1029" w:type="pct"/>
            <w:tcBorders>
              <w:top w:val="nil"/>
              <w:left w:val="nil"/>
              <w:bottom w:val="nil"/>
              <w:right w:val="nil"/>
            </w:tcBorders>
            <w:shd w:val="clear" w:color="auto" w:fill="FFFFFF"/>
            <w:vAlign w:val="center"/>
          </w:tcPr>
          <w:p w14:paraId="09C1035F" w14:textId="77777777" w:rsidR="00147AD9" w:rsidRDefault="00147AD9">
            <w:pPr>
              <w:jc w:val="center"/>
              <w:rPr>
                <w:rFonts w:ascii="Times New Roman" w:eastAsia="宋体" w:hAnsi="Times New Roman" w:cs="Times New Roman"/>
                <w:color w:val="000000"/>
                <w:sz w:val="22"/>
                <w:szCs w:val="22"/>
              </w:rPr>
            </w:pPr>
          </w:p>
        </w:tc>
        <w:tc>
          <w:tcPr>
            <w:tcW w:w="488" w:type="pct"/>
            <w:tcBorders>
              <w:top w:val="nil"/>
              <w:left w:val="nil"/>
              <w:bottom w:val="nil"/>
              <w:right w:val="nil"/>
            </w:tcBorders>
            <w:shd w:val="clear" w:color="auto" w:fill="FFFFFF"/>
            <w:vAlign w:val="center"/>
          </w:tcPr>
          <w:p w14:paraId="4CAB0EC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PC2</w:t>
            </w:r>
          </w:p>
        </w:tc>
        <w:tc>
          <w:tcPr>
            <w:tcW w:w="487" w:type="pct"/>
            <w:tcBorders>
              <w:top w:val="nil"/>
              <w:left w:val="nil"/>
              <w:bottom w:val="nil"/>
              <w:right w:val="nil"/>
            </w:tcBorders>
            <w:shd w:val="clear" w:color="auto" w:fill="FFFFFF"/>
            <w:vAlign w:val="center"/>
          </w:tcPr>
          <w:p w14:paraId="5962E7A2"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3.41</w:t>
            </w:r>
          </w:p>
        </w:tc>
        <w:tc>
          <w:tcPr>
            <w:tcW w:w="521" w:type="pct"/>
            <w:tcBorders>
              <w:top w:val="nil"/>
              <w:left w:val="nil"/>
              <w:bottom w:val="nil"/>
              <w:right w:val="nil"/>
            </w:tcBorders>
            <w:shd w:val="clear" w:color="auto" w:fill="FFFFFF"/>
            <w:vAlign w:val="center"/>
          </w:tcPr>
          <w:p w14:paraId="425D1342"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1.13</w:t>
            </w:r>
          </w:p>
        </w:tc>
        <w:tc>
          <w:tcPr>
            <w:tcW w:w="646" w:type="pct"/>
            <w:tcBorders>
              <w:top w:val="nil"/>
              <w:left w:val="nil"/>
              <w:bottom w:val="nil"/>
              <w:right w:val="nil"/>
            </w:tcBorders>
            <w:shd w:val="clear" w:color="auto" w:fill="FFFFFF"/>
            <w:vAlign w:val="center"/>
          </w:tcPr>
          <w:p w14:paraId="07B8A9E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-0.174</w:t>
            </w:r>
          </w:p>
        </w:tc>
        <w:tc>
          <w:tcPr>
            <w:tcW w:w="646" w:type="pct"/>
            <w:tcBorders>
              <w:top w:val="nil"/>
              <w:left w:val="nil"/>
              <w:bottom w:val="nil"/>
              <w:right w:val="nil"/>
            </w:tcBorders>
            <w:shd w:val="clear" w:color="auto" w:fill="FFFFFF"/>
            <w:vAlign w:val="center"/>
          </w:tcPr>
          <w:p w14:paraId="525B2EC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-1.044</w:t>
            </w:r>
          </w:p>
        </w:tc>
        <w:tc>
          <w:tcPr>
            <w:tcW w:w="589" w:type="pct"/>
            <w:tcBorders>
              <w:top w:val="nil"/>
              <w:left w:val="nil"/>
              <w:bottom w:val="nil"/>
              <w:right w:val="nil"/>
            </w:tcBorders>
            <w:shd w:val="clear" w:color="auto" w:fill="FFFFFF"/>
            <w:vAlign w:val="center"/>
          </w:tcPr>
          <w:p w14:paraId="0F1F628A" w14:textId="77777777" w:rsidR="00147AD9" w:rsidRDefault="00147AD9">
            <w:pPr>
              <w:jc w:val="center"/>
              <w:rPr>
                <w:rFonts w:ascii="Times New Roman" w:eastAsia="宋体" w:hAnsi="Times New Roman" w:cs="Times New Roman"/>
                <w:color w:val="000000"/>
                <w:sz w:val="22"/>
                <w:szCs w:val="22"/>
              </w:rPr>
            </w:pPr>
          </w:p>
        </w:tc>
        <w:tc>
          <w:tcPr>
            <w:tcW w:w="589" w:type="pct"/>
            <w:tcBorders>
              <w:top w:val="nil"/>
              <w:left w:val="nil"/>
              <w:bottom w:val="nil"/>
              <w:right w:val="nil"/>
            </w:tcBorders>
            <w:shd w:val="clear" w:color="auto" w:fill="FFFFFF"/>
            <w:vAlign w:val="center"/>
          </w:tcPr>
          <w:p w14:paraId="42140978" w14:textId="77777777" w:rsidR="00147AD9" w:rsidRDefault="00147AD9">
            <w:pPr>
              <w:jc w:val="center"/>
              <w:rPr>
                <w:rFonts w:ascii="Times New Roman" w:eastAsia="宋体" w:hAnsi="Times New Roman" w:cs="Times New Roman"/>
                <w:color w:val="000000"/>
                <w:sz w:val="22"/>
                <w:szCs w:val="22"/>
              </w:rPr>
            </w:pPr>
          </w:p>
        </w:tc>
      </w:tr>
      <w:tr w:rsidR="00147AD9" w14:paraId="267D83FC" w14:textId="77777777">
        <w:trPr>
          <w:trHeight w:val="270"/>
        </w:trPr>
        <w:tc>
          <w:tcPr>
            <w:tcW w:w="1029" w:type="pct"/>
            <w:tcBorders>
              <w:top w:val="nil"/>
              <w:left w:val="nil"/>
              <w:bottom w:val="nil"/>
              <w:right w:val="nil"/>
            </w:tcBorders>
            <w:shd w:val="clear" w:color="auto" w:fill="FFFFFF"/>
            <w:vAlign w:val="center"/>
          </w:tcPr>
          <w:p w14:paraId="6E8DCC21" w14:textId="77777777" w:rsidR="00147AD9" w:rsidRDefault="00147AD9">
            <w:pPr>
              <w:jc w:val="center"/>
              <w:rPr>
                <w:rFonts w:ascii="Times New Roman" w:eastAsia="宋体" w:hAnsi="Times New Roman" w:cs="Times New Roman"/>
                <w:color w:val="000000"/>
                <w:sz w:val="22"/>
                <w:szCs w:val="22"/>
              </w:rPr>
            </w:pPr>
          </w:p>
        </w:tc>
        <w:tc>
          <w:tcPr>
            <w:tcW w:w="488" w:type="pct"/>
            <w:tcBorders>
              <w:top w:val="nil"/>
              <w:left w:val="nil"/>
              <w:bottom w:val="nil"/>
              <w:right w:val="nil"/>
            </w:tcBorders>
            <w:shd w:val="clear" w:color="auto" w:fill="FFFFFF"/>
            <w:vAlign w:val="center"/>
          </w:tcPr>
          <w:p w14:paraId="50DCFB2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PC3</w:t>
            </w:r>
          </w:p>
        </w:tc>
        <w:tc>
          <w:tcPr>
            <w:tcW w:w="487" w:type="pct"/>
            <w:tcBorders>
              <w:top w:val="nil"/>
              <w:left w:val="nil"/>
              <w:bottom w:val="nil"/>
              <w:right w:val="nil"/>
            </w:tcBorders>
            <w:shd w:val="clear" w:color="auto" w:fill="FFFFFF"/>
            <w:vAlign w:val="center"/>
          </w:tcPr>
          <w:p w14:paraId="489C2065"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3.42</w:t>
            </w:r>
          </w:p>
        </w:tc>
        <w:tc>
          <w:tcPr>
            <w:tcW w:w="521" w:type="pct"/>
            <w:tcBorders>
              <w:top w:val="nil"/>
              <w:left w:val="nil"/>
              <w:bottom w:val="nil"/>
              <w:right w:val="nil"/>
            </w:tcBorders>
            <w:shd w:val="clear" w:color="auto" w:fill="FFFFFF"/>
            <w:vAlign w:val="center"/>
          </w:tcPr>
          <w:p w14:paraId="2893ADFE"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1.199</w:t>
            </w:r>
          </w:p>
        </w:tc>
        <w:tc>
          <w:tcPr>
            <w:tcW w:w="646" w:type="pct"/>
            <w:tcBorders>
              <w:top w:val="nil"/>
              <w:left w:val="nil"/>
              <w:bottom w:val="nil"/>
              <w:right w:val="nil"/>
            </w:tcBorders>
            <w:shd w:val="clear" w:color="auto" w:fill="FFFFFF"/>
            <w:vAlign w:val="center"/>
          </w:tcPr>
          <w:p w14:paraId="4486A0F2"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-0.137</w:t>
            </w:r>
          </w:p>
        </w:tc>
        <w:tc>
          <w:tcPr>
            <w:tcW w:w="646" w:type="pct"/>
            <w:tcBorders>
              <w:top w:val="nil"/>
              <w:left w:val="nil"/>
              <w:bottom w:val="nil"/>
              <w:right w:val="nil"/>
            </w:tcBorders>
            <w:shd w:val="clear" w:color="auto" w:fill="FFFFFF"/>
            <w:vAlign w:val="center"/>
          </w:tcPr>
          <w:p w14:paraId="7BD93C2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-1.188</w:t>
            </w:r>
          </w:p>
        </w:tc>
        <w:tc>
          <w:tcPr>
            <w:tcW w:w="589" w:type="pct"/>
            <w:tcBorders>
              <w:top w:val="nil"/>
              <w:left w:val="nil"/>
              <w:bottom w:val="nil"/>
              <w:right w:val="nil"/>
            </w:tcBorders>
            <w:shd w:val="clear" w:color="auto" w:fill="FFFFFF"/>
            <w:vAlign w:val="center"/>
          </w:tcPr>
          <w:p w14:paraId="57E68980" w14:textId="77777777" w:rsidR="00147AD9" w:rsidRDefault="00147AD9">
            <w:pPr>
              <w:jc w:val="center"/>
              <w:rPr>
                <w:rFonts w:ascii="Times New Roman" w:eastAsia="宋体" w:hAnsi="Times New Roman" w:cs="Times New Roman"/>
                <w:color w:val="000000"/>
                <w:sz w:val="22"/>
                <w:szCs w:val="22"/>
              </w:rPr>
            </w:pPr>
          </w:p>
        </w:tc>
        <w:tc>
          <w:tcPr>
            <w:tcW w:w="589" w:type="pct"/>
            <w:tcBorders>
              <w:top w:val="nil"/>
              <w:left w:val="nil"/>
              <w:bottom w:val="nil"/>
              <w:right w:val="nil"/>
            </w:tcBorders>
            <w:shd w:val="clear" w:color="auto" w:fill="FFFFFF"/>
            <w:vAlign w:val="center"/>
          </w:tcPr>
          <w:p w14:paraId="4235D6C8" w14:textId="77777777" w:rsidR="00147AD9" w:rsidRDefault="00147AD9">
            <w:pPr>
              <w:jc w:val="center"/>
              <w:rPr>
                <w:rFonts w:ascii="Times New Roman" w:eastAsia="宋体" w:hAnsi="Times New Roman" w:cs="Times New Roman"/>
                <w:color w:val="000000"/>
                <w:sz w:val="22"/>
                <w:szCs w:val="22"/>
              </w:rPr>
            </w:pPr>
          </w:p>
        </w:tc>
      </w:tr>
      <w:tr w:rsidR="00147AD9" w14:paraId="70218141" w14:textId="77777777">
        <w:trPr>
          <w:trHeight w:val="270"/>
        </w:trPr>
        <w:tc>
          <w:tcPr>
            <w:tcW w:w="1029" w:type="pct"/>
            <w:tcBorders>
              <w:top w:val="nil"/>
              <w:left w:val="nil"/>
              <w:bottom w:val="nil"/>
              <w:right w:val="nil"/>
            </w:tcBorders>
            <w:shd w:val="clear" w:color="auto" w:fill="FFFFFF"/>
            <w:vAlign w:val="center"/>
          </w:tcPr>
          <w:p w14:paraId="383D1F68" w14:textId="77777777" w:rsidR="00147AD9" w:rsidRDefault="00147AD9">
            <w:pPr>
              <w:jc w:val="center"/>
              <w:rPr>
                <w:rFonts w:ascii="Times New Roman" w:eastAsia="宋体" w:hAnsi="Times New Roman" w:cs="Times New Roman"/>
                <w:color w:val="000000"/>
                <w:sz w:val="22"/>
                <w:szCs w:val="22"/>
              </w:rPr>
            </w:pPr>
          </w:p>
        </w:tc>
        <w:tc>
          <w:tcPr>
            <w:tcW w:w="488" w:type="pct"/>
            <w:tcBorders>
              <w:top w:val="nil"/>
              <w:left w:val="nil"/>
              <w:bottom w:val="nil"/>
              <w:right w:val="nil"/>
            </w:tcBorders>
            <w:shd w:val="clear" w:color="auto" w:fill="FFFFFF"/>
            <w:vAlign w:val="center"/>
          </w:tcPr>
          <w:p w14:paraId="1BEAAFD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PC4</w:t>
            </w:r>
          </w:p>
        </w:tc>
        <w:tc>
          <w:tcPr>
            <w:tcW w:w="487" w:type="pct"/>
            <w:tcBorders>
              <w:top w:val="nil"/>
              <w:left w:val="nil"/>
              <w:bottom w:val="nil"/>
              <w:right w:val="nil"/>
            </w:tcBorders>
            <w:shd w:val="clear" w:color="auto" w:fill="FFFFFF"/>
            <w:vAlign w:val="center"/>
          </w:tcPr>
          <w:p w14:paraId="1568F439"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3.45</w:t>
            </w:r>
          </w:p>
        </w:tc>
        <w:tc>
          <w:tcPr>
            <w:tcW w:w="521" w:type="pct"/>
            <w:tcBorders>
              <w:top w:val="nil"/>
              <w:left w:val="nil"/>
              <w:bottom w:val="nil"/>
              <w:right w:val="nil"/>
            </w:tcBorders>
            <w:shd w:val="clear" w:color="auto" w:fill="FFFFFF"/>
            <w:vAlign w:val="center"/>
          </w:tcPr>
          <w:p w14:paraId="766DE0C2"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1.174</w:t>
            </w:r>
          </w:p>
        </w:tc>
        <w:tc>
          <w:tcPr>
            <w:tcW w:w="646" w:type="pct"/>
            <w:tcBorders>
              <w:top w:val="nil"/>
              <w:left w:val="nil"/>
              <w:bottom w:val="nil"/>
              <w:right w:val="nil"/>
            </w:tcBorders>
            <w:shd w:val="clear" w:color="auto" w:fill="FFFFFF"/>
            <w:vAlign w:val="center"/>
          </w:tcPr>
          <w:p w14:paraId="7054593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-0.263</w:t>
            </w:r>
          </w:p>
        </w:tc>
        <w:tc>
          <w:tcPr>
            <w:tcW w:w="646" w:type="pct"/>
            <w:tcBorders>
              <w:top w:val="nil"/>
              <w:left w:val="nil"/>
              <w:bottom w:val="nil"/>
              <w:right w:val="nil"/>
            </w:tcBorders>
            <w:shd w:val="clear" w:color="auto" w:fill="FFFFFF"/>
            <w:vAlign w:val="center"/>
          </w:tcPr>
          <w:p w14:paraId="6EEEFAE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-1.022</w:t>
            </w:r>
          </w:p>
        </w:tc>
        <w:tc>
          <w:tcPr>
            <w:tcW w:w="589" w:type="pct"/>
            <w:tcBorders>
              <w:top w:val="nil"/>
              <w:left w:val="nil"/>
              <w:bottom w:val="nil"/>
              <w:right w:val="nil"/>
            </w:tcBorders>
            <w:shd w:val="clear" w:color="auto" w:fill="FFFFFF"/>
            <w:vAlign w:val="center"/>
          </w:tcPr>
          <w:p w14:paraId="611D4A9C" w14:textId="77777777" w:rsidR="00147AD9" w:rsidRDefault="00147AD9">
            <w:pPr>
              <w:jc w:val="center"/>
              <w:rPr>
                <w:rFonts w:ascii="Times New Roman" w:eastAsia="宋体" w:hAnsi="Times New Roman" w:cs="Times New Roman"/>
                <w:color w:val="000000"/>
                <w:sz w:val="22"/>
                <w:szCs w:val="22"/>
              </w:rPr>
            </w:pPr>
          </w:p>
        </w:tc>
        <w:tc>
          <w:tcPr>
            <w:tcW w:w="589" w:type="pct"/>
            <w:tcBorders>
              <w:top w:val="nil"/>
              <w:left w:val="nil"/>
              <w:bottom w:val="nil"/>
              <w:right w:val="nil"/>
            </w:tcBorders>
            <w:shd w:val="clear" w:color="auto" w:fill="FFFFFF"/>
            <w:vAlign w:val="center"/>
          </w:tcPr>
          <w:p w14:paraId="3BC42DE5" w14:textId="77777777" w:rsidR="00147AD9" w:rsidRDefault="00147AD9">
            <w:pPr>
              <w:jc w:val="center"/>
              <w:rPr>
                <w:rFonts w:ascii="Times New Roman" w:eastAsia="宋体" w:hAnsi="Times New Roman" w:cs="Times New Roman"/>
                <w:color w:val="000000"/>
                <w:sz w:val="22"/>
                <w:szCs w:val="22"/>
              </w:rPr>
            </w:pPr>
          </w:p>
        </w:tc>
      </w:tr>
      <w:tr w:rsidR="00147AD9" w14:paraId="72248348" w14:textId="77777777">
        <w:trPr>
          <w:trHeight w:val="810"/>
        </w:trPr>
        <w:tc>
          <w:tcPr>
            <w:tcW w:w="1029" w:type="pct"/>
            <w:tcBorders>
              <w:top w:val="nil"/>
              <w:left w:val="nil"/>
              <w:bottom w:val="nil"/>
              <w:right w:val="nil"/>
            </w:tcBorders>
            <w:shd w:val="clear" w:color="auto" w:fill="FFFFFF"/>
            <w:vAlign w:val="center"/>
          </w:tcPr>
          <w:p w14:paraId="50689D5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Employee Green Behavior</w:t>
            </w:r>
          </w:p>
        </w:tc>
        <w:tc>
          <w:tcPr>
            <w:tcW w:w="488" w:type="pct"/>
            <w:tcBorders>
              <w:top w:val="nil"/>
              <w:left w:val="nil"/>
              <w:bottom w:val="nil"/>
              <w:right w:val="nil"/>
            </w:tcBorders>
            <w:shd w:val="clear" w:color="auto" w:fill="FFFFFF"/>
            <w:vAlign w:val="center"/>
          </w:tcPr>
          <w:p w14:paraId="5869D146"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EGB1</w:t>
            </w:r>
          </w:p>
        </w:tc>
        <w:tc>
          <w:tcPr>
            <w:tcW w:w="487" w:type="pct"/>
            <w:tcBorders>
              <w:top w:val="nil"/>
              <w:left w:val="nil"/>
              <w:bottom w:val="nil"/>
              <w:right w:val="nil"/>
            </w:tcBorders>
            <w:shd w:val="clear" w:color="auto" w:fill="FFFFFF"/>
            <w:vAlign w:val="center"/>
          </w:tcPr>
          <w:p w14:paraId="6E8E581F"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3.36</w:t>
            </w:r>
          </w:p>
        </w:tc>
        <w:tc>
          <w:tcPr>
            <w:tcW w:w="521" w:type="pct"/>
            <w:tcBorders>
              <w:top w:val="nil"/>
              <w:left w:val="nil"/>
              <w:bottom w:val="nil"/>
              <w:right w:val="nil"/>
            </w:tcBorders>
            <w:shd w:val="clear" w:color="auto" w:fill="FFFFFF"/>
            <w:vAlign w:val="center"/>
          </w:tcPr>
          <w:p w14:paraId="65D79A7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1.13</w:t>
            </w:r>
          </w:p>
        </w:tc>
        <w:tc>
          <w:tcPr>
            <w:tcW w:w="646" w:type="pct"/>
            <w:tcBorders>
              <w:top w:val="nil"/>
              <w:left w:val="nil"/>
              <w:bottom w:val="nil"/>
              <w:right w:val="nil"/>
            </w:tcBorders>
            <w:shd w:val="clear" w:color="auto" w:fill="FFFFFF"/>
            <w:vAlign w:val="center"/>
          </w:tcPr>
          <w:p w14:paraId="1B4DB52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-0.052</w:t>
            </w:r>
          </w:p>
        </w:tc>
        <w:tc>
          <w:tcPr>
            <w:tcW w:w="646" w:type="pct"/>
            <w:tcBorders>
              <w:top w:val="nil"/>
              <w:left w:val="nil"/>
              <w:bottom w:val="nil"/>
              <w:right w:val="nil"/>
            </w:tcBorders>
            <w:shd w:val="clear" w:color="auto" w:fill="FFFFFF"/>
            <w:vAlign w:val="center"/>
          </w:tcPr>
          <w:p w14:paraId="0F2B5E8E"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-1.135</w:t>
            </w:r>
          </w:p>
        </w:tc>
        <w:tc>
          <w:tcPr>
            <w:tcW w:w="589" w:type="pct"/>
            <w:tcBorders>
              <w:top w:val="nil"/>
              <w:left w:val="nil"/>
              <w:bottom w:val="nil"/>
              <w:right w:val="nil"/>
            </w:tcBorders>
            <w:shd w:val="clear" w:color="auto" w:fill="FFFFFF"/>
            <w:vAlign w:val="center"/>
          </w:tcPr>
          <w:p w14:paraId="0DD728B5"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3.352</w:t>
            </w:r>
          </w:p>
        </w:tc>
        <w:tc>
          <w:tcPr>
            <w:tcW w:w="589" w:type="pct"/>
            <w:tcBorders>
              <w:top w:val="nil"/>
              <w:left w:val="nil"/>
              <w:bottom w:val="nil"/>
              <w:right w:val="nil"/>
            </w:tcBorders>
            <w:shd w:val="clear" w:color="auto" w:fill="FFFFFF"/>
            <w:vAlign w:val="center"/>
          </w:tcPr>
          <w:p w14:paraId="1241674C"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0.97603</w:t>
            </w:r>
          </w:p>
        </w:tc>
      </w:tr>
      <w:tr w:rsidR="00147AD9" w14:paraId="7391CB06" w14:textId="77777777">
        <w:trPr>
          <w:trHeight w:val="270"/>
        </w:trPr>
        <w:tc>
          <w:tcPr>
            <w:tcW w:w="1029" w:type="pct"/>
            <w:tcBorders>
              <w:top w:val="nil"/>
              <w:left w:val="nil"/>
              <w:bottom w:val="nil"/>
              <w:right w:val="nil"/>
            </w:tcBorders>
            <w:shd w:val="clear" w:color="auto" w:fill="FFFFFF"/>
            <w:vAlign w:val="center"/>
          </w:tcPr>
          <w:p w14:paraId="7DCD5597" w14:textId="77777777" w:rsidR="00147AD9" w:rsidRDefault="00147AD9">
            <w:pPr>
              <w:jc w:val="center"/>
              <w:rPr>
                <w:rFonts w:ascii="Times New Roman" w:eastAsia="宋体" w:hAnsi="Times New Roman" w:cs="Times New Roman"/>
                <w:color w:val="000000"/>
                <w:sz w:val="22"/>
                <w:szCs w:val="22"/>
              </w:rPr>
            </w:pPr>
          </w:p>
        </w:tc>
        <w:tc>
          <w:tcPr>
            <w:tcW w:w="488" w:type="pct"/>
            <w:tcBorders>
              <w:top w:val="nil"/>
              <w:left w:val="nil"/>
              <w:bottom w:val="nil"/>
              <w:right w:val="nil"/>
            </w:tcBorders>
            <w:shd w:val="clear" w:color="auto" w:fill="FFFFFF"/>
            <w:vAlign w:val="center"/>
          </w:tcPr>
          <w:p w14:paraId="49598C8C"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EGB2</w:t>
            </w:r>
          </w:p>
        </w:tc>
        <w:tc>
          <w:tcPr>
            <w:tcW w:w="487" w:type="pct"/>
            <w:tcBorders>
              <w:top w:val="nil"/>
              <w:left w:val="nil"/>
              <w:bottom w:val="nil"/>
              <w:right w:val="nil"/>
            </w:tcBorders>
            <w:shd w:val="clear" w:color="auto" w:fill="FFFFFF"/>
            <w:vAlign w:val="center"/>
          </w:tcPr>
          <w:p w14:paraId="0B71B91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3.34</w:t>
            </w:r>
          </w:p>
        </w:tc>
        <w:tc>
          <w:tcPr>
            <w:tcW w:w="521" w:type="pct"/>
            <w:tcBorders>
              <w:top w:val="nil"/>
              <w:left w:val="nil"/>
              <w:bottom w:val="nil"/>
              <w:right w:val="nil"/>
            </w:tcBorders>
            <w:shd w:val="clear" w:color="auto" w:fill="FFFFFF"/>
            <w:vAlign w:val="center"/>
          </w:tcPr>
          <w:p w14:paraId="24D6863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1.157</w:t>
            </w:r>
          </w:p>
        </w:tc>
        <w:tc>
          <w:tcPr>
            <w:tcW w:w="646" w:type="pct"/>
            <w:tcBorders>
              <w:top w:val="nil"/>
              <w:left w:val="nil"/>
              <w:bottom w:val="nil"/>
              <w:right w:val="nil"/>
            </w:tcBorders>
            <w:shd w:val="clear" w:color="auto" w:fill="FFFFFF"/>
            <w:vAlign w:val="center"/>
          </w:tcPr>
          <w:p w14:paraId="54E7C42C"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-0.06</w:t>
            </w:r>
          </w:p>
        </w:tc>
        <w:tc>
          <w:tcPr>
            <w:tcW w:w="646" w:type="pct"/>
            <w:tcBorders>
              <w:top w:val="nil"/>
              <w:left w:val="nil"/>
              <w:bottom w:val="nil"/>
              <w:right w:val="nil"/>
            </w:tcBorders>
            <w:shd w:val="clear" w:color="auto" w:fill="FFFFFF"/>
            <w:vAlign w:val="center"/>
          </w:tcPr>
          <w:p w14:paraId="5A5D9DCE"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-1.173</w:t>
            </w:r>
          </w:p>
        </w:tc>
        <w:tc>
          <w:tcPr>
            <w:tcW w:w="589" w:type="pct"/>
            <w:tcBorders>
              <w:top w:val="nil"/>
              <w:left w:val="nil"/>
              <w:bottom w:val="nil"/>
              <w:right w:val="nil"/>
            </w:tcBorders>
            <w:shd w:val="clear" w:color="auto" w:fill="FFFFFF"/>
            <w:vAlign w:val="center"/>
          </w:tcPr>
          <w:p w14:paraId="547BCF29" w14:textId="77777777" w:rsidR="00147AD9" w:rsidRDefault="00147AD9">
            <w:pPr>
              <w:jc w:val="center"/>
              <w:rPr>
                <w:rFonts w:ascii="Times New Roman" w:eastAsia="宋体" w:hAnsi="Times New Roman" w:cs="Times New Roman"/>
                <w:color w:val="000000"/>
                <w:sz w:val="22"/>
                <w:szCs w:val="22"/>
              </w:rPr>
            </w:pPr>
          </w:p>
        </w:tc>
        <w:tc>
          <w:tcPr>
            <w:tcW w:w="589" w:type="pct"/>
            <w:tcBorders>
              <w:top w:val="nil"/>
              <w:left w:val="nil"/>
              <w:bottom w:val="nil"/>
              <w:right w:val="nil"/>
            </w:tcBorders>
            <w:shd w:val="clear" w:color="auto" w:fill="FFFFFF"/>
            <w:vAlign w:val="center"/>
          </w:tcPr>
          <w:p w14:paraId="2CC7443E" w14:textId="77777777" w:rsidR="00147AD9" w:rsidRDefault="00147AD9">
            <w:pPr>
              <w:jc w:val="center"/>
              <w:rPr>
                <w:rFonts w:ascii="Times New Roman" w:eastAsia="宋体" w:hAnsi="Times New Roman" w:cs="Times New Roman"/>
                <w:color w:val="000000"/>
                <w:sz w:val="22"/>
                <w:szCs w:val="22"/>
              </w:rPr>
            </w:pPr>
          </w:p>
        </w:tc>
      </w:tr>
      <w:tr w:rsidR="00147AD9" w14:paraId="16A42D0A" w14:textId="77777777">
        <w:trPr>
          <w:trHeight w:val="270"/>
        </w:trPr>
        <w:tc>
          <w:tcPr>
            <w:tcW w:w="1029" w:type="pct"/>
            <w:tcBorders>
              <w:top w:val="nil"/>
              <w:left w:val="nil"/>
              <w:bottom w:val="nil"/>
              <w:right w:val="nil"/>
            </w:tcBorders>
            <w:shd w:val="clear" w:color="auto" w:fill="FFFFFF"/>
            <w:vAlign w:val="center"/>
          </w:tcPr>
          <w:p w14:paraId="3B26907A" w14:textId="77777777" w:rsidR="00147AD9" w:rsidRDefault="00147AD9">
            <w:pPr>
              <w:jc w:val="center"/>
              <w:rPr>
                <w:rFonts w:ascii="Times New Roman" w:eastAsia="宋体" w:hAnsi="Times New Roman" w:cs="Times New Roman"/>
                <w:color w:val="000000"/>
                <w:sz w:val="22"/>
                <w:szCs w:val="22"/>
              </w:rPr>
            </w:pPr>
          </w:p>
        </w:tc>
        <w:tc>
          <w:tcPr>
            <w:tcW w:w="488" w:type="pct"/>
            <w:tcBorders>
              <w:top w:val="nil"/>
              <w:left w:val="nil"/>
              <w:bottom w:val="nil"/>
              <w:right w:val="nil"/>
            </w:tcBorders>
            <w:shd w:val="clear" w:color="auto" w:fill="FFFFFF"/>
            <w:vAlign w:val="center"/>
          </w:tcPr>
          <w:p w14:paraId="5181765B"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EGB3</w:t>
            </w:r>
          </w:p>
        </w:tc>
        <w:tc>
          <w:tcPr>
            <w:tcW w:w="487" w:type="pct"/>
            <w:tcBorders>
              <w:top w:val="nil"/>
              <w:left w:val="nil"/>
              <w:bottom w:val="nil"/>
              <w:right w:val="nil"/>
            </w:tcBorders>
            <w:shd w:val="clear" w:color="auto" w:fill="FFFFFF"/>
            <w:vAlign w:val="center"/>
          </w:tcPr>
          <w:p w14:paraId="6EA65952"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3.31</w:t>
            </w:r>
          </w:p>
        </w:tc>
        <w:tc>
          <w:tcPr>
            <w:tcW w:w="521" w:type="pct"/>
            <w:tcBorders>
              <w:top w:val="nil"/>
              <w:left w:val="nil"/>
              <w:bottom w:val="nil"/>
              <w:right w:val="nil"/>
            </w:tcBorders>
            <w:shd w:val="clear" w:color="auto" w:fill="FFFFFF"/>
            <w:vAlign w:val="center"/>
          </w:tcPr>
          <w:p w14:paraId="7EBD9DF0"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1.163</w:t>
            </w:r>
          </w:p>
        </w:tc>
        <w:tc>
          <w:tcPr>
            <w:tcW w:w="646" w:type="pct"/>
            <w:tcBorders>
              <w:top w:val="nil"/>
              <w:left w:val="nil"/>
              <w:bottom w:val="nil"/>
              <w:right w:val="nil"/>
            </w:tcBorders>
            <w:shd w:val="clear" w:color="auto" w:fill="FFFFFF"/>
            <w:vAlign w:val="center"/>
          </w:tcPr>
          <w:p w14:paraId="4B6109D5"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-0.104</w:t>
            </w:r>
          </w:p>
        </w:tc>
        <w:tc>
          <w:tcPr>
            <w:tcW w:w="646" w:type="pct"/>
            <w:tcBorders>
              <w:top w:val="nil"/>
              <w:left w:val="nil"/>
              <w:bottom w:val="nil"/>
              <w:right w:val="nil"/>
            </w:tcBorders>
            <w:shd w:val="clear" w:color="auto" w:fill="FFFFFF"/>
            <w:vAlign w:val="center"/>
          </w:tcPr>
          <w:p w14:paraId="64C2FDC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-1.107</w:t>
            </w:r>
          </w:p>
        </w:tc>
        <w:tc>
          <w:tcPr>
            <w:tcW w:w="589" w:type="pct"/>
            <w:tcBorders>
              <w:top w:val="nil"/>
              <w:left w:val="nil"/>
              <w:bottom w:val="nil"/>
              <w:right w:val="nil"/>
            </w:tcBorders>
            <w:shd w:val="clear" w:color="auto" w:fill="FFFFFF"/>
            <w:vAlign w:val="center"/>
          </w:tcPr>
          <w:p w14:paraId="278EAD7C" w14:textId="77777777" w:rsidR="00147AD9" w:rsidRDefault="00147AD9">
            <w:pPr>
              <w:jc w:val="center"/>
              <w:rPr>
                <w:rFonts w:ascii="Times New Roman" w:eastAsia="宋体" w:hAnsi="Times New Roman" w:cs="Times New Roman"/>
                <w:color w:val="000000"/>
                <w:sz w:val="22"/>
                <w:szCs w:val="22"/>
              </w:rPr>
            </w:pPr>
          </w:p>
        </w:tc>
        <w:tc>
          <w:tcPr>
            <w:tcW w:w="589" w:type="pct"/>
            <w:tcBorders>
              <w:top w:val="nil"/>
              <w:left w:val="nil"/>
              <w:bottom w:val="nil"/>
              <w:right w:val="nil"/>
            </w:tcBorders>
            <w:shd w:val="clear" w:color="auto" w:fill="FFFFFF"/>
            <w:vAlign w:val="center"/>
          </w:tcPr>
          <w:p w14:paraId="27A240FF" w14:textId="77777777" w:rsidR="00147AD9" w:rsidRDefault="00147AD9">
            <w:pPr>
              <w:jc w:val="center"/>
              <w:rPr>
                <w:rFonts w:ascii="Times New Roman" w:eastAsia="宋体" w:hAnsi="Times New Roman" w:cs="Times New Roman"/>
                <w:color w:val="000000"/>
                <w:sz w:val="22"/>
                <w:szCs w:val="22"/>
              </w:rPr>
            </w:pPr>
          </w:p>
        </w:tc>
      </w:tr>
      <w:tr w:rsidR="00147AD9" w14:paraId="05C34EE1" w14:textId="77777777">
        <w:trPr>
          <w:trHeight w:val="270"/>
        </w:trPr>
        <w:tc>
          <w:tcPr>
            <w:tcW w:w="1029" w:type="pct"/>
            <w:tcBorders>
              <w:top w:val="nil"/>
              <w:left w:val="nil"/>
              <w:bottom w:val="nil"/>
              <w:right w:val="nil"/>
            </w:tcBorders>
            <w:shd w:val="clear" w:color="auto" w:fill="FFFFFF"/>
            <w:vAlign w:val="center"/>
          </w:tcPr>
          <w:p w14:paraId="3360872A" w14:textId="77777777" w:rsidR="00147AD9" w:rsidRDefault="00147AD9">
            <w:pPr>
              <w:jc w:val="center"/>
              <w:rPr>
                <w:rFonts w:ascii="Times New Roman" w:eastAsia="宋体" w:hAnsi="Times New Roman" w:cs="Times New Roman"/>
                <w:color w:val="000000"/>
                <w:sz w:val="22"/>
                <w:szCs w:val="22"/>
              </w:rPr>
            </w:pPr>
          </w:p>
        </w:tc>
        <w:tc>
          <w:tcPr>
            <w:tcW w:w="488" w:type="pct"/>
            <w:tcBorders>
              <w:top w:val="nil"/>
              <w:left w:val="nil"/>
              <w:bottom w:val="nil"/>
              <w:right w:val="nil"/>
            </w:tcBorders>
            <w:shd w:val="clear" w:color="auto" w:fill="FFFFFF"/>
            <w:vAlign w:val="center"/>
          </w:tcPr>
          <w:p w14:paraId="192E2862"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EGB4</w:t>
            </w:r>
          </w:p>
        </w:tc>
        <w:tc>
          <w:tcPr>
            <w:tcW w:w="487" w:type="pct"/>
            <w:tcBorders>
              <w:top w:val="nil"/>
              <w:left w:val="nil"/>
              <w:bottom w:val="nil"/>
              <w:right w:val="nil"/>
            </w:tcBorders>
            <w:shd w:val="clear" w:color="auto" w:fill="FFFFFF"/>
            <w:vAlign w:val="center"/>
          </w:tcPr>
          <w:p w14:paraId="1ACFEE14"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3.4</w:t>
            </w:r>
          </w:p>
        </w:tc>
        <w:tc>
          <w:tcPr>
            <w:tcW w:w="521" w:type="pct"/>
            <w:tcBorders>
              <w:top w:val="nil"/>
              <w:left w:val="nil"/>
              <w:bottom w:val="nil"/>
              <w:right w:val="nil"/>
            </w:tcBorders>
            <w:shd w:val="clear" w:color="auto" w:fill="FFFFFF"/>
            <w:vAlign w:val="center"/>
          </w:tcPr>
          <w:p w14:paraId="35ED2AC4"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1.183</w:t>
            </w:r>
          </w:p>
        </w:tc>
        <w:tc>
          <w:tcPr>
            <w:tcW w:w="646" w:type="pct"/>
            <w:tcBorders>
              <w:top w:val="nil"/>
              <w:left w:val="nil"/>
              <w:bottom w:val="nil"/>
              <w:right w:val="nil"/>
            </w:tcBorders>
            <w:shd w:val="clear" w:color="auto" w:fill="FFFFFF"/>
            <w:vAlign w:val="center"/>
          </w:tcPr>
          <w:p w14:paraId="668E6F34"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-0.176</w:t>
            </w:r>
          </w:p>
        </w:tc>
        <w:tc>
          <w:tcPr>
            <w:tcW w:w="646" w:type="pct"/>
            <w:tcBorders>
              <w:top w:val="nil"/>
              <w:left w:val="nil"/>
              <w:bottom w:val="nil"/>
              <w:right w:val="nil"/>
            </w:tcBorders>
            <w:shd w:val="clear" w:color="auto" w:fill="FFFFFF"/>
            <w:vAlign w:val="center"/>
          </w:tcPr>
          <w:p w14:paraId="014CFB1B"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-1.136</w:t>
            </w:r>
          </w:p>
        </w:tc>
        <w:tc>
          <w:tcPr>
            <w:tcW w:w="589" w:type="pct"/>
            <w:tcBorders>
              <w:top w:val="nil"/>
              <w:left w:val="nil"/>
              <w:bottom w:val="nil"/>
              <w:right w:val="nil"/>
            </w:tcBorders>
            <w:shd w:val="clear" w:color="auto" w:fill="FFFFFF"/>
            <w:vAlign w:val="center"/>
          </w:tcPr>
          <w:p w14:paraId="0149ECCA" w14:textId="77777777" w:rsidR="00147AD9" w:rsidRDefault="00147AD9">
            <w:pPr>
              <w:jc w:val="center"/>
              <w:rPr>
                <w:rFonts w:ascii="Times New Roman" w:eastAsia="宋体" w:hAnsi="Times New Roman" w:cs="Times New Roman"/>
                <w:color w:val="000000"/>
                <w:sz w:val="22"/>
                <w:szCs w:val="22"/>
              </w:rPr>
            </w:pPr>
          </w:p>
        </w:tc>
        <w:tc>
          <w:tcPr>
            <w:tcW w:w="589" w:type="pct"/>
            <w:tcBorders>
              <w:top w:val="nil"/>
              <w:left w:val="nil"/>
              <w:bottom w:val="nil"/>
              <w:right w:val="nil"/>
            </w:tcBorders>
            <w:shd w:val="clear" w:color="auto" w:fill="FFFFFF"/>
            <w:vAlign w:val="center"/>
          </w:tcPr>
          <w:p w14:paraId="0C0DBAC8" w14:textId="77777777" w:rsidR="00147AD9" w:rsidRDefault="00147AD9">
            <w:pPr>
              <w:jc w:val="center"/>
              <w:rPr>
                <w:rFonts w:ascii="Times New Roman" w:eastAsia="宋体" w:hAnsi="Times New Roman" w:cs="Times New Roman"/>
                <w:color w:val="000000"/>
                <w:sz w:val="22"/>
                <w:szCs w:val="22"/>
              </w:rPr>
            </w:pPr>
          </w:p>
        </w:tc>
      </w:tr>
      <w:tr w:rsidR="00147AD9" w14:paraId="48C13A64" w14:textId="77777777">
        <w:trPr>
          <w:trHeight w:val="810"/>
        </w:trPr>
        <w:tc>
          <w:tcPr>
            <w:tcW w:w="1029" w:type="pct"/>
            <w:tcBorders>
              <w:top w:val="nil"/>
              <w:left w:val="nil"/>
              <w:bottom w:val="nil"/>
              <w:right w:val="nil"/>
            </w:tcBorders>
            <w:shd w:val="clear" w:color="auto" w:fill="FFFFFF"/>
            <w:vAlign w:val="center"/>
          </w:tcPr>
          <w:p w14:paraId="30B5CC20"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Perceived Organizational Support</w:t>
            </w:r>
          </w:p>
        </w:tc>
        <w:tc>
          <w:tcPr>
            <w:tcW w:w="488" w:type="pct"/>
            <w:tcBorders>
              <w:top w:val="nil"/>
              <w:left w:val="nil"/>
              <w:bottom w:val="nil"/>
              <w:right w:val="nil"/>
            </w:tcBorders>
            <w:shd w:val="clear" w:color="auto" w:fill="FFFFFF"/>
            <w:vAlign w:val="center"/>
          </w:tcPr>
          <w:p w14:paraId="4964C5D2"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POS1</w:t>
            </w:r>
          </w:p>
        </w:tc>
        <w:tc>
          <w:tcPr>
            <w:tcW w:w="487" w:type="pct"/>
            <w:tcBorders>
              <w:top w:val="nil"/>
              <w:left w:val="nil"/>
              <w:bottom w:val="nil"/>
              <w:right w:val="nil"/>
            </w:tcBorders>
            <w:shd w:val="clear" w:color="auto" w:fill="FFFFFF"/>
            <w:vAlign w:val="center"/>
          </w:tcPr>
          <w:p w14:paraId="3A05D860"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3.31</w:t>
            </w:r>
          </w:p>
        </w:tc>
        <w:tc>
          <w:tcPr>
            <w:tcW w:w="521" w:type="pct"/>
            <w:tcBorders>
              <w:top w:val="nil"/>
              <w:left w:val="nil"/>
              <w:bottom w:val="nil"/>
              <w:right w:val="nil"/>
            </w:tcBorders>
            <w:shd w:val="clear" w:color="auto" w:fill="FFFFFF"/>
            <w:vAlign w:val="center"/>
          </w:tcPr>
          <w:p w14:paraId="0D4ABD2F"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1.25</w:t>
            </w:r>
          </w:p>
        </w:tc>
        <w:tc>
          <w:tcPr>
            <w:tcW w:w="646" w:type="pct"/>
            <w:tcBorders>
              <w:top w:val="nil"/>
              <w:left w:val="nil"/>
              <w:bottom w:val="nil"/>
              <w:right w:val="nil"/>
            </w:tcBorders>
            <w:shd w:val="clear" w:color="auto" w:fill="FFFFFF"/>
            <w:vAlign w:val="center"/>
          </w:tcPr>
          <w:p w14:paraId="0748738B"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-0.086</w:t>
            </w:r>
          </w:p>
        </w:tc>
        <w:tc>
          <w:tcPr>
            <w:tcW w:w="646" w:type="pct"/>
            <w:tcBorders>
              <w:top w:val="nil"/>
              <w:left w:val="nil"/>
              <w:bottom w:val="nil"/>
              <w:right w:val="nil"/>
            </w:tcBorders>
            <w:shd w:val="clear" w:color="auto" w:fill="FFFFFF"/>
            <w:vAlign w:val="center"/>
          </w:tcPr>
          <w:p w14:paraId="01854935"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-1.245</w:t>
            </w:r>
          </w:p>
        </w:tc>
        <w:tc>
          <w:tcPr>
            <w:tcW w:w="589" w:type="pct"/>
            <w:tcBorders>
              <w:top w:val="nil"/>
              <w:left w:val="nil"/>
              <w:bottom w:val="nil"/>
              <w:right w:val="nil"/>
            </w:tcBorders>
            <w:shd w:val="clear" w:color="auto" w:fill="FFFFFF"/>
            <w:vAlign w:val="center"/>
          </w:tcPr>
          <w:p w14:paraId="71562216"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3.3003</w:t>
            </w:r>
          </w:p>
        </w:tc>
        <w:tc>
          <w:tcPr>
            <w:tcW w:w="589" w:type="pct"/>
            <w:tcBorders>
              <w:top w:val="nil"/>
              <w:left w:val="nil"/>
              <w:bottom w:val="nil"/>
              <w:right w:val="nil"/>
            </w:tcBorders>
            <w:shd w:val="clear" w:color="auto" w:fill="FFFFFF"/>
            <w:vAlign w:val="center"/>
          </w:tcPr>
          <w:p w14:paraId="106689C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1.01697</w:t>
            </w:r>
          </w:p>
        </w:tc>
      </w:tr>
      <w:tr w:rsidR="00147AD9" w14:paraId="7B63273A" w14:textId="77777777">
        <w:trPr>
          <w:trHeight w:val="270"/>
        </w:trPr>
        <w:tc>
          <w:tcPr>
            <w:tcW w:w="1029" w:type="pct"/>
            <w:tcBorders>
              <w:top w:val="nil"/>
              <w:left w:val="nil"/>
              <w:bottom w:val="nil"/>
              <w:right w:val="nil"/>
            </w:tcBorders>
            <w:shd w:val="clear" w:color="auto" w:fill="FFFFFF"/>
            <w:vAlign w:val="center"/>
          </w:tcPr>
          <w:p w14:paraId="37E9DBA8" w14:textId="77777777" w:rsidR="00147AD9" w:rsidRDefault="00147AD9">
            <w:pPr>
              <w:jc w:val="center"/>
              <w:rPr>
                <w:rFonts w:ascii="Times New Roman" w:eastAsia="宋体" w:hAnsi="Times New Roman" w:cs="Times New Roman"/>
                <w:color w:val="000000"/>
                <w:sz w:val="22"/>
                <w:szCs w:val="22"/>
              </w:rPr>
            </w:pPr>
          </w:p>
        </w:tc>
        <w:tc>
          <w:tcPr>
            <w:tcW w:w="488" w:type="pct"/>
            <w:tcBorders>
              <w:top w:val="nil"/>
              <w:left w:val="nil"/>
              <w:bottom w:val="nil"/>
              <w:right w:val="nil"/>
            </w:tcBorders>
            <w:shd w:val="clear" w:color="auto" w:fill="FFFFFF"/>
            <w:vAlign w:val="center"/>
          </w:tcPr>
          <w:p w14:paraId="219C80E4"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POS2</w:t>
            </w:r>
          </w:p>
        </w:tc>
        <w:tc>
          <w:tcPr>
            <w:tcW w:w="487" w:type="pct"/>
            <w:tcBorders>
              <w:top w:val="nil"/>
              <w:left w:val="nil"/>
              <w:bottom w:val="nil"/>
              <w:right w:val="nil"/>
            </w:tcBorders>
            <w:shd w:val="clear" w:color="auto" w:fill="FFFFFF"/>
            <w:vAlign w:val="center"/>
          </w:tcPr>
          <w:p w14:paraId="0C0981E6"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3.26</w:t>
            </w:r>
          </w:p>
        </w:tc>
        <w:tc>
          <w:tcPr>
            <w:tcW w:w="521" w:type="pct"/>
            <w:tcBorders>
              <w:top w:val="nil"/>
              <w:left w:val="nil"/>
              <w:bottom w:val="nil"/>
              <w:right w:val="nil"/>
            </w:tcBorders>
            <w:shd w:val="clear" w:color="auto" w:fill="FFFFFF"/>
            <w:vAlign w:val="center"/>
          </w:tcPr>
          <w:p w14:paraId="63C90A9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1.19</w:t>
            </w:r>
          </w:p>
        </w:tc>
        <w:tc>
          <w:tcPr>
            <w:tcW w:w="646" w:type="pct"/>
            <w:tcBorders>
              <w:top w:val="nil"/>
              <w:left w:val="nil"/>
              <w:bottom w:val="nil"/>
              <w:right w:val="nil"/>
            </w:tcBorders>
            <w:shd w:val="clear" w:color="auto" w:fill="FFFFFF"/>
            <w:vAlign w:val="center"/>
          </w:tcPr>
          <w:p w14:paraId="32A7A82F"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0.018</w:t>
            </w:r>
          </w:p>
        </w:tc>
        <w:tc>
          <w:tcPr>
            <w:tcW w:w="646" w:type="pct"/>
            <w:tcBorders>
              <w:top w:val="nil"/>
              <w:left w:val="nil"/>
              <w:bottom w:val="nil"/>
              <w:right w:val="nil"/>
            </w:tcBorders>
            <w:shd w:val="clear" w:color="auto" w:fill="FFFFFF"/>
            <w:vAlign w:val="center"/>
          </w:tcPr>
          <w:p w14:paraId="64EBD370"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-1.12</w:t>
            </w:r>
          </w:p>
        </w:tc>
        <w:tc>
          <w:tcPr>
            <w:tcW w:w="589" w:type="pct"/>
            <w:tcBorders>
              <w:top w:val="nil"/>
              <w:left w:val="nil"/>
              <w:bottom w:val="nil"/>
              <w:right w:val="nil"/>
            </w:tcBorders>
            <w:shd w:val="clear" w:color="auto" w:fill="FFFFFF"/>
            <w:vAlign w:val="center"/>
          </w:tcPr>
          <w:p w14:paraId="461B4AA7" w14:textId="77777777" w:rsidR="00147AD9" w:rsidRDefault="00147AD9">
            <w:pPr>
              <w:jc w:val="center"/>
              <w:rPr>
                <w:rFonts w:ascii="Times New Roman" w:eastAsia="宋体" w:hAnsi="Times New Roman" w:cs="Times New Roman"/>
                <w:color w:val="000000"/>
                <w:sz w:val="22"/>
                <w:szCs w:val="22"/>
              </w:rPr>
            </w:pPr>
          </w:p>
        </w:tc>
        <w:tc>
          <w:tcPr>
            <w:tcW w:w="589" w:type="pct"/>
            <w:tcBorders>
              <w:top w:val="nil"/>
              <w:left w:val="nil"/>
              <w:bottom w:val="nil"/>
              <w:right w:val="nil"/>
            </w:tcBorders>
            <w:shd w:val="clear" w:color="auto" w:fill="FFFFFF"/>
            <w:vAlign w:val="center"/>
          </w:tcPr>
          <w:p w14:paraId="200BAFC7" w14:textId="77777777" w:rsidR="00147AD9" w:rsidRDefault="00147AD9">
            <w:pPr>
              <w:jc w:val="center"/>
              <w:rPr>
                <w:rFonts w:ascii="Times New Roman" w:eastAsia="宋体" w:hAnsi="Times New Roman" w:cs="Times New Roman"/>
                <w:color w:val="000000"/>
                <w:sz w:val="22"/>
                <w:szCs w:val="22"/>
              </w:rPr>
            </w:pPr>
          </w:p>
        </w:tc>
      </w:tr>
      <w:tr w:rsidR="00147AD9" w14:paraId="1932398C" w14:textId="77777777">
        <w:trPr>
          <w:trHeight w:val="270"/>
        </w:trPr>
        <w:tc>
          <w:tcPr>
            <w:tcW w:w="1029" w:type="pct"/>
            <w:tcBorders>
              <w:top w:val="nil"/>
              <w:left w:val="nil"/>
              <w:bottom w:val="nil"/>
              <w:right w:val="nil"/>
            </w:tcBorders>
            <w:shd w:val="clear" w:color="auto" w:fill="FFFFFF"/>
            <w:vAlign w:val="center"/>
          </w:tcPr>
          <w:p w14:paraId="25E4D648" w14:textId="77777777" w:rsidR="00147AD9" w:rsidRDefault="00147AD9">
            <w:pPr>
              <w:jc w:val="center"/>
              <w:rPr>
                <w:rFonts w:ascii="Times New Roman" w:eastAsia="宋体" w:hAnsi="Times New Roman" w:cs="Times New Roman"/>
                <w:color w:val="000000"/>
                <w:sz w:val="22"/>
                <w:szCs w:val="22"/>
              </w:rPr>
            </w:pPr>
          </w:p>
        </w:tc>
        <w:tc>
          <w:tcPr>
            <w:tcW w:w="488" w:type="pct"/>
            <w:tcBorders>
              <w:top w:val="nil"/>
              <w:left w:val="nil"/>
              <w:bottom w:val="nil"/>
              <w:right w:val="nil"/>
            </w:tcBorders>
            <w:shd w:val="clear" w:color="auto" w:fill="FFFFFF"/>
            <w:vAlign w:val="center"/>
          </w:tcPr>
          <w:p w14:paraId="56FD4585"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POS3</w:t>
            </w:r>
          </w:p>
        </w:tc>
        <w:tc>
          <w:tcPr>
            <w:tcW w:w="487" w:type="pct"/>
            <w:tcBorders>
              <w:top w:val="nil"/>
              <w:left w:val="nil"/>
              <w:bottom w:val="nil"/>
              <w:right w:val="nil"/>
            </w:tcBorders>
            <w:shd w:val="clear" w:color="auto" w:fill="FFFFFF"/>
            <w:vAlign w:val="center"/>
          </w:tcPr>
          <w:p w14:paraId="4D60F674"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3.34</w:t>
            </w:r>
          </w:p>
        </w:tc>
        <w:tc>
          <w:tcPr>
            <w:tcW w:w="521" w:type="pct"/>
            <w:tcBorders>
              <w:top w:val="nil"/>
              <w:left w:val="nil"/>
              <w:bottom w:val="nil"/>
              <w:right w:val="nil"/>
            </w:tcBorders>
            <w:shd w:val="clear" w:color="auto" w:fill="FFFFFF"/>
            <w:vAlign w:val="center"/>
          </w:tcPr>
          <w:p w14:paraId="1BDB92A4"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1.213</w:t>
            </w:r>
          </w:p>
        </w:tc>
        <w:tc>
          <w:tcPr>
            <w:tcW w:w="646" w:type="pct"/>
            <w:tcBorders>
              <w:top w:val="nil"/>
              <w:left w:val="nil"/>
              <w:bottom w:val="nil"/>
              <w:right w:val="nil"/>
            </w:tcBorders>
            <w:shd w:val="clear" w:color="auto" w:fill="FFFFFF"/>
            <w:vAlign w:val="center"/>
          </w:tcPr>
          <w:p w14:paraId="5195508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-0.086</w:t>
            </w:r>
          </w:p>
        </w:tc>
        <w:tc>
          <w:tcPr>
            <w:tcW w:w="646" w:type="pct"/>
            <w:tcBorders>
              <w:top w:val="nil"/>
              <w:left w:val="nil"/>
              <w:bottom w:val="nil"/>
              <w:right w:val="nil"/>
            </w:tcBorders>
            <w:shd w:val="clear" w:color="auto" w:fill="FFFFFF"/>
            <w:vAlign w:val="center"/>
          </w:tcPr>
          <w:p w14:paraId="683F38A9"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-1.135</w:t>
            </w:r>
          </w:p>
        </w:tc>
        <w:tc>
          <w:tcPr>
            <w:tcW w:w="589" w:type="pct"/>
            <w:tcBorders>
              <w:top w:val="nil"/>
              <w:left w:val="nil"/>
              <w:bottom w:val="nil"/>
              <w:right w:val="nil"/>
            </w:tcBorders>
            <w:shd w:val="clear" w:color="auto" w:fill="FFFFFF"/>
            <w:vAlign w:val="center"/>
          </w:tcPr>
          <w:p w14:paraId="5C6DA1A1" w14:textId="77777777" w:rsidR="00147AD9" w:rsidRDefault="00147AD9">
            <w:pPr>
              <w:jc w:val="center"/>
              <w:rPr>
                <w:rFonts w:ascii="Times New Roman" w:eastAsia="宋体" w:hAnsi="Times New Roman" w:cs="Times New Roman"/>
                <w:color w:val="000000"/>
                <w:sz w:val="22"/>
                <w:szCs w:val="22"/>
              </w:rPr>
            </w:pPr>
          </w:p>
        </w:tc>
        <w:tc>
          <w:tcPr>
            <w:tcW w:w="589" w:type="pct"/>
            <w:tcBorders>
              <w:top w:val="nil"/>
              <w:left w:val="nil"/>
              <w:bottom w:val="nil"/>
              <w:right w:val="nil"/>
            </w:tcBorders>
            <w:shd w:val="clear" w:color="auto" w:fill="FFFFFF"/>
            <w:vAlign w:val="center"/>
          </w:tcPr>
          <w:p w14:paraId="74DE8F74" w14:textId="77777777" w:rsidR="00147AD9" w:rsidRDefault="00147AD9">
            <w:pPr>
              <w:jc w:val="center"/>
              <w:rPr>
                <w:rFonts w:ascii="Times New Roman" w:eastAsia="宋体" w:hAnsi="Times New Roman" w:cs="Times New Roman"/>
                <w:color w:val="000000"/>
                <w:sz w:val="22"/>
                <w:szCs w:val="22"/>
              </w:rPr>
            </w:pPr>
          </w:p>
        </w:tc>
      </w:tr>
      <w:tr w:rsidR="00147AD9" w14:paraId="2EE93C8C" w14:textId="77777777">
        <w:trPr>
          <w:trHeight w:val="270"/>
        </w:trPr>
        <w:tc>
          <w:tcPr>
            <w:tcW w:w="1029" w:type="pct"/>
            <w:tcBorders>
              <w:top w:val="nil"/>
              <w:left w:val="nil"/>
              <w:bottom w:val="single" w:sz="12" w:space="0" w:color="000000"/>
              <w:right w:val="nil"/>
            </w:tcBorders>
            <w:shd w:val="clear" w:color="auto" w:fill="FFFFFF"/>
            <w:vAlign w:val="center"/>
          </w:tcPr>
          <w:p w14:paraId="36D6729F" w14:textId="77777777" w:rsidR="00147AD9" w:rsidRDefault="00147AD9">
            <w:pPr>
              <w:jc w:val="center"/>
              <w:rPr>
                <w:rFonts w:ascii="Times New Roman" w:eastAsia="宋体" w:hAnsi="Times New Roman" w:cs="Times New Roman"/>
                <w:color w:val="000000"/>
                <w:sz w:val="22"/>
                <w:szCs w:val="22"/>
              </w:rPr>
            </w:pPr>
          </w:p>
        </w:tc>
        <w:tc>
          <w:tcPr>
            <w:tcW w:w="488" w:type="pct"/>
            <w:tcBorders>
              <w:top w:val="nil"/>
              <w:left w:val="nil"/>
              <w:bottom w:val="single" w:sz="12" w:space="0" w:color="000000"/>
              <w:right w:val="nil"/>
            </w:tcBorders>
            <w:shd w:val="clear" w:color="auto" w:fill="FFFFFF"/>
            <w:vAlign w:val="center"/>
          </w:tcPr>
          <w:p w14:paraId="5BF8118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POS4</w:t>
            </w:r>
          </w:p>
        </w:tc>
        <w:tc>
          <w:tcPr>
            <w:tcW w:w="487" w:type="pct"/>
            <w:tcBorders>
              <w:top w:val="nil"/>
              <w:left w:val="nil"/>
              <w:bottom w:val="single" w:sz="12" w:space="0" w:color="000000"/>
              <w:right w:val="nil"/>
            </w:tcBorders>
            <w:shd w:val="clear" w:color="auto" w:fill="FFFFFF"/>
            <w:vAlign w:val="center"/>
          </w:tcPr>
          <w:p w14:paraId="56C56B1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3.28</w:t>
            </w:r>
          </w:p>
        </w:tc>
        <w:tc>
          <w:tcPr>
            <w:tcW w:w="521" w:type="pct"/>
            <w:tcBorders>
              <w:top w:val="nil"/>
              <w:left w:val="nil"/>
              <w:bottom w:val="single" w:sz="12" w:space="0" w:color="000000"/>
              <w:right w:val="nil"/>
            </w:tcBorders>
            <w:shd w:val="clear" w:color="auto" w:fill="FFFFFF"/>
            <w:vAlign w:val="center"/>
          </w:tcPr>
          <w:p w14:paraId="6EAA45A4"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1.169</w:t>
            </w:r>
          </w:p>
        </w:tc>
        <w:tc>
          <w:tcPr>
            <w:tcW w:w="646" w:type="pct"/>
            <w:tcBorders>
              <w:top w:val="nil"/>
              <w:left w:val="nil"/>
              <w:bottom w:val="single" w:sz="12" w:space="0" w:color="000000"/>
              <w:right w:val="nil"/>
            </w:tcBorders>
            <w:shd w:val="clear" w:color="auto" w:fill="FFFFFF"/>
            <w:vAlign w:val="center"/>
          </w:tcPr>
          <w:p w14:paraId="153EA130"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0.04</w:t>
            </w:r>
          </w:p>
        </w:tc>
        <w:tc>
          <w:tcPr>
            <w:tcW w:w="646" w:type="pct"/>
            <w:tcBorders>
              <w:top w:val="nil"/>
              <w:left w:val="nil"/>
              <w:bottom w:val="single" w:sz="12" w:space="0" w:color="000000"/>
              <w:right w:val="nil"/>
            </w:tcBorders>
            <w:shd w:val="clear" w:color="auto" w:fill="FFFFFF"/>
            <w:vAlign w:val="center"/>
          </w:tcPr>
          <w:p w14:paraId="1EBA649D"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-1.148</w:t>
            </w:r>
          </w:p>
        </w:tc>
        <w:tc>
          <w:tcPr>
            <w:tcW w:w="589" w:type="pct"/>
            <w:tcBorders>
              <w:top w:val="nil"/>
              <w:left w:val="nil"/>
              <w:bottom w:val="single" w:sz="12" w:space="0" w:color="000000"/>
              <w:right w:val="nil"/>
            </w:tcBorders>
            <w:shd w:val="clear" w:color="auto" w:fill="FFFFFF"/>
            <w:vAlign w:val="center"/>
          </w:tcPr>
          <w:p w14:paraId="6FB29B05" w14:textId="77777777" w:rsidR="00147AD9" w:rsidRDefault="00147AD9">
            <w:pPr>
              <w:jc w:val="center"/>
              <w:rPr>
                <w:rFonts w:ascii="Times New Roman" w:eastAsia="宋体" w:hAnsi="Times New Roman" w:cs="Times New Roman"/>
                <w:color w:val="000000"/>
                <w:sz w:val="22"/>
                <w:szCs w:val="22"/>
              </w:rPr>
            </w:pPr>
          </w:p>
        </w:tc>
        <w:tc>
          <w:tcPr>
            <w:tcW w:w="589" w:type="pct"/>
            <w:tcBorders>
              <w:top w:val="nil"/>
              <w:left w:val="nil"/>
              <w:bottom w:val="single" w:sz="12" w:space="0" w:color="000000"/>
              <w:right w:val="nil"/>
            </w:tcBorders>
            <w:shd w:val="clear" w:color="auto" w:fill="FFFFFF"/>
            <w:vAlign w:val="center"/>
          </w:tcPr>
          <w:p w14:paraId="31F213AA" w14:textId="77777777" w:rsidR="00147AD9" w:rsidRDefault="00147AD9">
            <w:pPr>
              <w:jc w:val="center"/>
              <w:rPr>
                <w:rFonts w:ascii="Times New Roman" w:eastAsia="宋体" w:hAnsi="Times New Roman" w:cs="Times New Roman"/>
                <w:color w:val="000000"/>
                <w:sz w:val="22"/>
                <w:szCs w:val="22"/>
              </w:rPr>
            </w:pPr>
          </w:p>
        </w:tc>
      </w:tr>
    </w:tbl>
    <w:p w14:paraId="44C48DE4" w14:textId="77777777" w:rsidR="00147AD9" w:rsidRDefault="00147AD9">
      <w:pPr>
        <w:rPr>
          <w:rFonts w:ascii="Times New Roman" w:eastAsia="方正大黑体_GBK" w:hAnsi="Times New Roman" w:cs="Times New Roman"/>
          <w:sz w:val="24"/>
        </w:rPr>
      </w:pPr>
    </w:p>
    <w:p w14:paraId="43844529"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The absence of significant skew or kurtosis suggests that the sample distribution is approximately normal, thereby satisfying a key assumption of confirmatory factor analysis (CFA) and structural equation modeling (SEM).</w:t>
      </w:r>
    </w:p>
    <w:p w14:paraId="445E0DDC"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4.4 Structural Equation Modeling (SEM) Analysis</w:t>
      </w:r>
    </w:p>
    <w:p w14:paraId="67469433"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To empirically examine the hypothesized relationships among the study’s key constructs, structural equation modeling (SEM) was conducted using AMOS 24.0. The analysis was grounded in a dual-mediation and moderation framework involving Corporate Green Culture (CGC), Green Transformational Leadership (GTL), Psychological Contract (PC), Perceived Organizational Support (POS), and Employee Green Behavior (EGB).</w:t>
      </w:r>
    </w:p>
    <w:p w14:paraId="19B05C38"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4.4.1 Correlation Analysis Among Core Constructs</w:t>
      </w:r>
    </w:p>
    <w:p w14:paraId="1DCE9535"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Table 7 presents the Pearson correlation coefficients among the five core variables. All relationships are statistically significant at the 0.01 level and positive in direction, indicating acceptable discriminant validity and supporting the theoretical model's internal coherence. Notably, CGC demonstrates strong positive correlations with GTL (r = .598) and PC (r = .537), reflecting that organizations emphasizing green culture are more likely to foster transformational leadership and stronger psychological contracts. Both GTL (r = .617) and PC (r = .567) also show significant positive associations with EGB, suggesting their potential roles as mediators. POS, likewise, is positively correlated with all other variables, with the highest being with GTL (r = .587), reinforcing its theorized role as a potential moderator.</w:t>
      </w:r>
    </w:p>
    <w:p w14:paraId="193EC2F6" w14:textId="77777777" w:rsidR="00147AD9" w:rsidRDefault="00000000">
      <w:pPr>
        <w:jc w:val="center"/>
        <w:rPr>
          <w:rFonts w:ascii="Times New Roman" w:hAnsi="Times New Roman" w:cs="Times New Roman"/>
          <w:sz w:val="22"/>
          <w:szCs w:val="22"/>
        </w:rPr>
      </w:pPr>
      <w:r>
        <w:rPr>
          <w:rFonts w:ascii="Times New Roman" w:eastAsia="宋体" w:hAnsi="Times New Roman" w:cs="Times New Roman"/>
          <w:sz w:val="22"/>
          <w:szCs w:val="22"/>
        </w:rPr>
        <w:t>Table 7  Pearson Correlation Analysis Among Key Constructs</w:t>
      </w:r>
    </w:p>
    <w:tbl>
      <w:tblPr>
        <w:tblW w:w="4998" w:type="pct"/>
        <w:tblLook w:val="04A0" w:firstRow="1" w:lastRow="0" w:firstColumn="1" w:lastColumn="0" w:noHBand="0" w:noVBand="1"/>
      </w:tblPr>
      <w:tblGrid>
        <w:gridCol w:w="1495"/>
        <w:gridCol w:w="1367"/>
        <w:gridCol w:w="1368"/>
        <w:gridCol w:w="1370"/>
        <w:gridCol w:w="1370"/>
        <w:gridCol w:w="1333"/>
      </w:tblGrid>
      <w:tr w:rsidR="00147AD9" w14:paraId="42571C97" w14:textId="77777777">
        <w:trPr>
          <w:trHeight w:val="540"/>
        </w:trPr>
        <w:tc>
          <w:tcPr>
            <w:tcW w:w="900" w:type="pct"/>
            <w:tcBorders>
              <w:top w:val="single" w:sz="12" w:space="0" w:color="000000"/>
              <w:left w:val="nil"/>
              <w:bottom w:val="single" w:sz="4" w:space="0" w:color="000000"/>
              <w:right w:val="nil"/>
              <w:tl2br w:val="nil"/>
            </w:tcBorders>
            <w:shd w:val="clear" w:color="auto" w:fill="FFFFFF"/>
            <w:vAlign w:val="center"/>
          </w:tcPr>
          <w:p w14:paraId="17CA0D65"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Variable</w:t>
            </w:r>
          </w:p>
        </w:tc>
        <w:tc>
          <w:tcPr>
            <w:tcW w:w="823" w:type="pct"/>
            <w:tcBorders>
              <w:top w:val="single" w:sz="12" w:space="0" w:color="000000"/>
              <w:left w:val="nil"/>
              <w:bottom w:val="single" w:sz="4" w:space="0" w:color="000000"/>
              <w:right w:val="nil"/>
            </w:tcBorders>
            <w:shd w:val="clear" w:color="auto" w:fill="FFFFFF"/>
            <w:vAlign w:val="center"/>
          </w:tcPr>
          <w:p w14:paraId="3D708DBE"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CGC</w:t>
            </w:r>
          </w:p>
        </w:tc>
        <w:tc>
          <w:tcPr>
            <w:tcW w:w="823" w:type="pct"/>
            <w:tcBorders>
              <w:top w:val="single" w:sz="12" w:space="0" w:color="000000"/>
              <w:left w:val="nil"/>
              <w:bottom w:val="single" w:sz="4" w:space="0" w:color="000000"/>
              <w:right w:val="nil"/>
            </w:tcBorders>
            <w:shd w:val="clear" w:color="auto" w:fill="FFFFFF"/>
            <w:vAlign w:val="center"/>
          </w:tcPr>
          <w:p w14:paraId="21FA98C1"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GL</w:t>
            </w:r>
          </w:p>
        </w:tc>
        <w:tc>
          <w:tcPr>
            <w:tcW w:w="824" w:type="pct"/>
            <w:tcBorders>
              <w:top w:val="single" w:sz="12" w:space="0" w:color="000000"/>
              <w:left w:val="nil"/>
              <w:bottom w:val="single" w:sz="4" w:space="0" w:color="000000"/>
              <w:right w:val="nil"/>
            </w:tcBorders>
            <w:shd w:val="clear" w:color="auto" w:fill="FFFFFF"/>
            <w:vAlign w:val="center"/>
          </w:tcPr>
          <w:p w14:paraId="25C2D8B7"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PC</w:t>
            </w:r>
          </w:p>
        </w:tc>
        <w:tc>
          <w:tcPr>
            <w:tcW w:w="824" w:type="pct"/>
            <w:tcBorders>
              <w:top w:val="single" w:sz="12" w:space="0" w:color="000000"/>
              <w:left w:val="nil"/>
              <w:bottom w:val="single" w:sz="4" w:space="0" w:color="000000"/>
              <w:right w:val="nil"/>
            </w:tcBorders>
            <w:shd w:val="clear" w:color="auto" w:fill="FFFFFF"/>
            <w:vAlign w:val="center"/>
          </w:tcPr>
          <w:p w14:paraId="3F00AB96"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EGB</w:t>
            </w:r>
          </w:p>
        </w:tc>
        <w:tc>
          <w:tcPr>
            <w:tcW w:w="802" w:type="pct"/>
            <w:tcBorders>
              <w:top w:val="single" w:sz="12" w:space="0" w:color="000000"/>
              <w:left w:val="nil"/>
              <w:bottom w:val="single" w:sz="4" w:space="0" w:color="000000"/>
              <w:right w:val="nil"/>
            </w:tcBorders>
            <w:shd w:val="clear" w:color="auto" w:fill="FFFFFF"/>
            <w:vAlign w:val="center"/>
          </w:tcPr>
          <w:p w14:paraId="17C381CC"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POS</w:t>
            </w:r>
          </w:p>
        </w:tc>
      </w:tr>
      <w:tr w:rsidR="00147AD9" w14:paraId="0AE2039B" w14:textId="77777777">
        <w:trPr>
          <w:trHeight w:val="270"/>
        </w:trPr>
        <w:tc>
          <w:tcPr>
            <w:tcW w:w="900" w:type="pct"/>
            <w:tcBorders>
              <w:top w:val="single" w:sz="4" w:space="0" w:color="000000"/>
              <w:left w:val="nil"/>
              <w:bottom w:val="nil"/>
              <w:right w:val="nil"/>
            </w:tcBorders>
            <w:shd w:val="clear" w:color="auto" w:fill="FFFFFF"/>
            <w:vAlign w:val="center"/>
          </w:tcPr>
          <w:p w14:paraId="22F0B083"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CGC</w:t>
            </w:r>
          </w:p>
        </w:tc>
        <w:tc>
          <w:tcPr>
            <w:tcW w:w="823" w:type="pct"/>
            <w:tcBorders>
              <w:top w:val="single" w:sz="4" w:space="0" w:color="000000"/>
              <w:left w:val="nil"/>
              <w:bottom w:val="nil"/>
              <w:right w:val="nil"/>
            </w:tcBorders>
            <w:shd w:val="clear" w:color="auto" w:fill="FFFFFF"/>
            <w:vAlign w:val="center"/>
          </w:tcPr>
          <w:p w14:paraId="06B05B66"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w:t>
            </w:r>
          </w:p>
        </w:tc>
        <w:tc>
          <w:tcPr>
            <w:tcW w:w="823" w:type="pct"/>
            <w:tcBorders>
              <w:top w:val="single" w:sz="4" w:space="0" w:color="000000"/>
              <w:left w:val="nil"/>
              <w:bottom w:val="nil"/>
              <w:right w:val="nil"/>
            </w:tcBorders>
            <w:shd w:val="clear" w:color="auto" w:fill="FFFFFF"/>
            <w:vAlign w:val="center"/>
          </w:tcPr>
          <w:p w14:paraId="36AF084F" w14:textId="77777777" w:rsidR="00147AD9" w:rsidRDefault="00147AD9">
            <w:pPr>
              <w:jc w:val="center"/>
              <w:rPr>
                <w:rFonts w:ascii="Times New Roman" w:eastAsia="宋体" w:hAnsi="Times New Roman" w:cs="Times New Roman"/>
                <w:color w:val="000000"/>
                <w:sz w:val="22"/>
                <w:szCs w:val="22"/>
              </w:rPr>
            </w:pPr>
          </w:p>
        </w:tc>
        <w:tc>
          <w:tcPr>
            <w:tcW w:w="824" w:type="pct"/>
            <w:tcBorders>
              <w:top w:val="single" w:sz="4" w:space="0" w:color="000000"/>
              <w:left w:val="nil"/>
              <w:bottom w:val="nil"/>
              <w:right w:val="nil"/>
            </w:tcBorders>
            <w:shd w:val="clear" w:color="auto" w:fill="FFFFFF"/>
            <w:vAlign w:val="center"/>
          </w:tcPr>
          <w:p w14:paraId="73DE97A3" w14:textId="77777777" w:rsidR="00147AD9" w:rsidRDefault="00147AD9">
            <w:pPr>
              <w:jc w:val="center"/>
              <w:rPr>
                <w:rFonts w:ascii="Times New Roman" w:eastAsia="宋体" w:hAnsi="Times New Roman" w:cs="Times New Roman"/>
                <w:color w:val="000000"/>
                <w:sz w:val="22"/>
                <w:szCs w:val="22"/>
              </w:rPr>
            </w:pPr>
          </w:p>
        </w:tc>
        <w:tc>
          <w:tcPr>
            <w:tcW w:w="824" w:type="pct"/>
            <w:tcBorders>
              <w:top w:val="single" w:sz="4" w:space="0" w:color="000000"/>
              <w:left w:val="nil"/>
              <w:bottom w:val="nil"/>
              <w:right w:val="nil"/>
            </w:tcBorders>
            <w:shd w:val="clear" w:color="auto" w:fill="FFFFFF"/>
            <w:vAlign w:val="center"/>
          </w:tcPr>
          <w:p w14:paraId="3D6C395B" w14:textId="77777777" w:rsidR="00147AD9" w:rsidRDefault="00147AD9">
            <w:pPr>
              <w:jc w:val="center"/>
              <w:rPr>
                <w:rFonts w:ascii="Times New Roman" w:eastAsia="宋体" w:hAnsi="Times New Roman" w:cs="Times New Roman"/>
                <w:color w:val="000000"/>
                <w:sz w:val="22"/>
                <w:szCs w:val="22"/>
              </w:rPr>
            </w:pPr>
          </w:p>
        </w:tc>
        <w:tc>
          <w:tcPr>
            <w:tcW w:w="802" w:type="pct"/>
            <w:tcBorders>
              <w:top w:val="single" w:sz="4" w:space="0" w:color="000000"/>
              <w:left w:val="nil"/>
              <w:bottom w:val="nil"/>
              <w:right w:val="nil"/>
            </w:tcBorders>
            <w:shd w:val="clear" w:color="auto" w:fill="FFFFFF"/>
            <w:vAlign w:val="center"/>
          </w:tcPr>
          <w:p w14:paraId="7BE13CAF" w14:textId="77777777" w:rsidR="00147AD9" w:rsidRDefault="00147AD9">
            <w:pPr>
              <w:jc w:val="center"/>
              <w:rPr>
                <w:rFonts w:ascii="Times New Roman" w:eastAsia="宋体" w:hAnsi="Times New Roman" w:cs="Times New Roman"/>
                <w:color w:val="000000"/>
                <w:sz w:val="22"/>
                <w:szCs w:val="22"/>
              </w:rPr>
            </w:pPr>
          </w:p>
        </w:tc>
      </w:tr>
      <w:tr w:rsidR="00147AD9" w14:paraId="39724979" w14:textId="77777777">
        <w:trPr>
          <w:trHeight w:val="270"/>
        </w:trPr>
        <w:tc>
          <w:tcPr>
            <w:tcW w:w="900" w:type="pct"/>
            <w:tcBorders>
              <w:top w:val="nil"/>
              <w:left w:val="nil"/>
              <w:bottom w:val="nil"/>
              <w:right w:val="nil"/>
            </w:tcBorders>
            <w:shd w:val="clear" w:color="auto" w:fill="FFFFFF"/>
            <w:vAlign w:val="center"/>
          </w:tcPr>
          <w:p w14:paraId="1BB118DE"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GL</w:t>
            </w:r>
          </w:p>
        </w:tc>
        <w:tc>
          <w:tcPr>
            <w:tcW w:w="823" w:type="pct"/>
            <w:tcBorders>
              <w:top w:val="nil"/>
              <w:left w:val="nil"/>
              <w:bottom w:val="nil"/>
              <w:right w:val="nil"/>
            </w:tcBorders>
            <w:shd w:val="clear" w:color="auto" w:fill="FFFFFF"/>
            <w:vAlign w:val="center"/>
          </w:tcPr>
          <w:p w14:paraId="7413C20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.433**</w:t>
            </w:r>
          </w:p>
        </w:tc>
        <w:tc>
          <w:tcPr>
            <w:tcW w:w="823" w:type="pct"/>
            <w:tcBorders>
              <w:top w:val="nil"/>
              <w:left w:val="nil"/>
              <w:bottom w:val="nil"/>
              <w:right w:val="nil"/>
            </w:tcBorders>
            <w:shd w:val="clear" w:color="auto" w:fill="FFFFFF"/>
            <w:vAlign w:val="center"/>
          </w:tcPr>
          <w:p w14:paraId="35078E64"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w:t>
            </w:r>
          </w:p>
        </w:tc>
        <w:tc>
          <w:tcPr>
            <w:tcW w:w="824" w:type="pct"/>
            <w:tcBorders>
              <w:top w:val="nil"/>
              <w:left w:val="nil"/>
              <w:bottom w:val="nil"/>
              <w:right w:val="nil"/>
            </w:tcBorders>
            <w:shd w:val="clear" w:color="auto" w:fill="FFFFFF"/>
            <w:vAlign w:val="center"/>
          </w:tcPr>
          <w:p w14:paraId="7DEE51F0" w14:textId="77777777" w:rsidR="00147AD9" w:rsidRDefault="00147AD9">
            <w:pPr>
              <w:jc w:val="center"/>
              <w:rPr>
                <w:rFonts w:ascii="Times New Roman" w:eastAsia="宋体" w:hAnsi="Times New Roman" w:cs="Times New Roman"/>
                <w:color w:val="000000"/>
                <w:sz w:val="22"/>
                <w:szCs w:val="22"/>
              </w:rPr>
            </w:pPr>
          </w:p>
        </w:tc>
        <w:tc>
          <w:tcPr>
            <w:tcW w:w="824" w:type="pct"/>
            <w:tcBorders>
              <w:top w:val="nil"/>
              <w:left w:val="nil"/>
              <w:bottom w:val="nil"/>
              <w:right w:val="nil"/>
            </w:tcBorders>
            <w:shd w:val="clear" w:color="auto" w:fill="FFFFFF"/>
            <w:vAlign w:val="center"/>
          </w:tcPr>
          <w:p w14:paraId="3ACA6C8F" w14:textId="77777777" w:rsidR="00147AD9" w:rsidRDefault="00147AD9">
            <w:pPr>
              <w:jc w:val="center"/>
              <w:rPr>
                <w:rFonts w:ascii="Times New Roman" w:eastAsia="宋体" w:hAnsi="Times New Roman" w:cs="Times New Roman"/>
                <w:color w:val="000000"/>
                <w:sz w:val="22"/>
                <w:szCs w:val="22"/>
              </w:rPr>
            </w:pPr>
          </w:p>
        </w:tc>
        <w:tc>
          <w:tcPr>
            <w:tcW w:w="802" w:type="pct"/>
            <w:tcBorders>
              <w:top w:val="nil"/>
              <w:left w:val="nil"/>
              <w:bottom w:val="nil"/>
              <w:right w:val="nil"/>
            </w:tcBorders>
            <w:shd w:val="clear" w:color="auto" w:fill="FFFFFF"/>
            <w:vAlign w:val="center"/>
          </w:tcPr>
          <w:p w14:paraId="02B373E8" w14:textId="77777777" w:rsidR="00147AD9" w:rsidRDefault="00147AD9">
            <w:pPr>
              <w:jc w:val="center"/>
              <w:rPr>
                <w:rFonts w:ascii="Times New Roman" w:eastAsia="宋体" w:hAnsi="Times New Roman" w:cs="Times New Roman"/>
                <w:color w:val="000000"/>
                <w:sz w:val="22"/>
                <w:szCs w:val="22"/>
              </w:rPr>
            </w:pPr>
          </w:p>
        </w:tc>
      </w:tr>
      <w:tr w:rsidR="00147AD9" w14:paraId="0EFE2D2D" w14:textId="77777777">
        <w:trPr>
          <w:trHeight w:val="270"/>
        </w:trPr>
        <w:tc>
          <w:tcPr>
            <w:tcW w:w="900" w:type="pct"/>
            <w:tcBorders>
              <w:top w:val="nil"/>
              <w:left w:val="nil"/>
              <w:bottom w:val="nil"/>
              <w:right w:val="nil"/>
            </w:tcBorders>
            <w:shd w:val="clear" w:color="auto" w:fill="FFFFFF"/>
            <w:vAlign w:val="center"/>
          </w:tcPr>
          <w:p w14:paraId="707977A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PC</w:t>
            </w:r>
          </w:p>
        </w:tc>
        <w:tc>
          <w:tcPr>
            <w:tcW w:w="823" w:type="pct"/>
            <w:tcBorders>
              <w:top w:val="nil"/>
              <w:left w:val="nil"/>
              <w:bottom w:val="nil"/>
              <w:right w:val="nil"/>
            </w:tcBorders>
            <w:shd w:val="clear" w:color="auto" w:fill="FFFFFF"/>
            <w:vAlign w:val="center"/>
          </w:tcPr>
          <w:p w14:paraId="7EF04A8F"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.365**</w:t>
            </w:r>
          </w:p>
        </w:tc>
        <w:tc>
          <w:tcPr>
            <w:tcW w:w="823" w:type="pct"/>
            <w:tcBorders>
              <w:top w:val="nil"/>
              <w:left w:val="nil"/>
              <w:bottom w:val="nil"/>
              <w:right w:val="nil"/>
            </w:tcBorders>
            <w:shd w:val="clear" w:color="auto" w:fill="FFFFFF"/>
            <w:vAlign w:val="center"/>
          </w:tcPr>
          <w:p w14:paraId="63694AC1"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.403**</w:t>
            </w:r>
          </w:p>
        </w:tc>
        <w:tc>
          <w:tcPr>
            <w:tcW w:w="824" w:type="pct"/>
            <w:tcBorders>
              <w:top w:val="nil"/>
              <w:left w:val="nil"/>
              <w:bottom w:val="nil"/>
              <w:right w:val="nil"/>
            </w:tcBorders>
            <w:shd w:val="clear" w:color="auto" w:fill="FFFFFF"/>
            <w:vAlign w:val="center"/>
          </w:tcPr>
          <w:p w14:paraId="5965C33A"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w:t>
            </w:r>
          </w:p>
        </w:tc>
        <w:tc>
          <w:tcPr>
            <w:tcW w:w="824" w:type="pct"/>
            <w:tcBorders>
              <w:top w:val="nil"/>
              <w:left w:val="nil"/>
              <w:bottom w:val="nil"/>
              <w:right w:val="nil"/>
            </w:tcBorders>
            <w:shd w:val="clear" w:color="auto" w:fill="FFFFFF"/>
            <w:vAlign w:val="center"/>
          </w:tcPr>
          <w:p w14:paraId="2FFF5E3D" w14:textId="77777777" w:rsidR="00147AD9" w:rsidRDefault="00147AD9">
            <w:pPr>
              <w:jc w:val="center"/>
              <w:rPr>
                <w:rFonts w:ascii="Times New Roman" w:eastAsia="宋体" w:hAnsi="Times New Roman" w:cs="Times New Roman"/>
                <w:color w:val="000000"/>
                <w:sz w:val="22"/>
                <w:szCs w:val="22"/>
              </w:rPr>
            </w:pPr>
          </w:p>
        </w:tc>
        <w:tc>
          <w:tcPr>
            <w:tcW w:w="802" w:type="pct"/>
            <w:tcBorders>
              <w:top w:val="nil"/>
              <w:left w:val="nil"/>
              <w:bottom w:val="nil"/>
              <w:right w:val="nil"/>
            </w:tcBorders>
            <w:shd w:val="clear" w:color="auto" w:fill="FFFFFF"/>
            <w:vAlign w:val="center"/>
          </w:tcPr>
          <w:p w14:paraId="72CF1FA7" w14:textId="77777777" w:rsidR="00147AD9" w:rsidRDefault="00147AD9">
            <w:pPr>
              <w:jc w:val="center"/>
              <w:rPr>
                <w:rFonts w:ascii="Times New Roman" w:eastAsia="宋体" w:hAnsi="Times New Roman" w:cs="Times New Roman"/>
                <w:color w:val="000000"/>
                <w:sz w:val="22"/>
                <w:szCs w:val="22"/>
              </w:rPr>
            </w:pPr>
          </w:p>
        </w:tc>
      </w:tr>
      <w:tr w:rsidR="00147AD9" w14:paraId="67A45826" w14:textId="77777777">
        <w:trPr>
          <w:trHeight w:val="270"/>
        </w:trPr>
        <w:tc>
          <w:tcPr>
            <w:tcW w:w="900" w:type="pct"/>
            <w:tcBorders>
              <w:top w:val="nil"/>
              <w:left w:val="nil"/>
              <w:bottom w:val="nil"/>
              <w:right w:val="nil"/>
            </w:tcBorders>
            <w:shd w:val="clear" w:color="auto" w:fill="FFFFFF"/>
            <w:vAlign w:val="center"/>
          </w:tcPr>
          <w:p w14:paraId="4817D33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lastRenderedPageBreak/>
              <w:t>EGB</w:t>
            </w:r>
          </w:p>
        </w:tc>
        <w:tc>
          <w:tcPr>
            <w:tcW w:w="823" w:type="pct"/>
            <w:tcBorders>
              <w:top w:val="nil"/>
              <w:left w:val="nil"/>
              <w:bottom w:val="nil"/>
              <w:right w:val="nil"/>
            </w:tcBorders>
            <w:shd w:val="clear" w:color="auto" w:fill="FFFFFF"/>
            <w:vAlign w:val="center"/>
          </w:tcPr>
          <w:p w14:paraId="550EC3D7"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.369**</w:t>
            </w:r>
          </w:p>
        </w:tc>
        <w:tc>
          <w:tcPr>
            <w:tcW w:w="823" w:type="pct"/>
            <w:tcBorders>
              <w:top w:val="nil"/>
              <w:left w:val="nil"/>
              <w:bottom w:val="nil"/>
              <w:right w:val="nil"/>
            </w:tcBorders>
            <w:shd w:val="clear" w:color="auto" w:fill="FFFFFF"/>
            <w:vAlign w:val="center"/>
          </w:tcPr>
          <w:p w14:paraId="327BE74C"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.414**</w:t>
            </w:r>
          </w:p>
        </w:tc>
        <w:tc>
          <w:tcPr>
            <w:tcW w:w="824" w:type="pct"/>
            <w:tcBorders>
              <w:top w:val="nil"/>
              <w:left w:val="nil"/>
              <w:bottom w:val="nil"/>
              <w:right w:val="nil"/>
            </w:tcBorders>
            <w:shd w:val="clear" w:color="auto" w:fill="FFFFFF"/>
            <w:vAlign w:val="center"/>
          </w:tcPr>
          <w:p w14:paraId="5665206E"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.434**</w:t>
            </w:r>
          </w:p>
        </w:tc>
        <w:tc>
          <w:tcPr>
            <w:tcW w:w="824" w:type="pct"/>
            <w:tcBorders>
              <w:top w:val="nil"/>
              <w:left w:val="nil"/>
              <w:bottom w:val="nil"/>
              <w:right w:val="nil"/>
            </w:tcBorders>
            <w:shd w:val="clear" w:color="auto" w:fill="FFFFFF"/>
            <w:vAlign w:val="center"/>
          </w:tcPr>
          <w:p w14:paraId="009A034B"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w:t>
            </w:r>
          </w:p>
        </w:tc>
        <w:tc>
          <w:tcPr>
            <w:tcW w:w="802" w:type="pct"/>
            <w:tcBorders>
              <w:top w:val="nil"/>
              <w:left w:val="nil"/>
              <w:bottom w:val="nil"/>
              <w:right w:val="nil"/>
            </w:tcBorders>
            <w:shd w:val="clear" w:color="auto" w:fill="FFFFFF"/>
            <w:vAlign w:val="center"/>
          </w:tcPr>
          <w:p w14:paraId="2F7CF3DE" w14:textId="77777777" w:rsidR="00147AD9" w:rsidRDefault="00147AD9">
            <w:pPr>
              <w:jc w:val="center"/>
              <w:rPr>
                <w:rFonts w:ascii="Times New Roman" w:eastAsia="宋体" w:hAnsi="Times New Roman" w:cs="Times New Roman"/>
                <w:color w:val="000000"/>
                <w:sz w:val="22"/>
                <w:szCs w:val="22"/>
              </w:rPr>
            </w:pPr>
          </w:p>
        </w:tc>
      </w:tr>
      <w:tr w:rsidR="00147AD9" w14:paraId="5118CD79" w14:textId="77777777">
        <w:trPr>
          <w:trHeight w:val="270"/>
        </w:trPr>
        <w:tc>
          <w:tcPr>
            <w:tcW w:w="900" w:type="pct"/>
            <w:tcBorders>
              <w:top w:val="nil"/>
              <w:left w:val="nil"/>
              <w:bottom w:val="single" w:sz="12" w:space="0" w:color="000000"/>
              <w:right w:val="nil"/>
            </w:tcBorders>
            <w:shd w:val="clear" w:color="auto" w:fill="FFFFFF"/>
            <w:vAlign w:val="center"/>
          </w:tcPr>
          <w:p w14:paraId="26D6A09B"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POS</w:t>
            </w:r>
          </w:p>
        </w:tc>
        <w:tc>
          <w:tcPr>
            <w:tcW w:w="823" w:type="pct"/>
            <w:tcBorders>
              <w:top w:val="nil"/>
              <w:left w:val="nil"/>
              <w:bottom w:val="single" w:sz="12" w:space="0" w:color="000000"/>
              <w:right w:val="nil"/>
            </w:tcBorders>
            <w:shd w:val="clear" w:color="auto" w:fill="FFFFFF"/>
            <w:vAlign w:val="center"/>
          </w:tcPr>
          <w:p w14:paraId="12DC2098"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.446**</w:t>
            </w:r>
          </w:p>
        </w:tc>
        <w:tc>
          <w:tcPr>
            <w:tcW w:w="823" w:type="pct"/>
            <w:tcBorders>
              <w:top w:val="nil"/>
              <w:left w:val="nil"/>
              <w:bottom w:val="single" w:sz="12" w:space="0" w:color="000000"/>
              <w:right w:val="nil"/>
            </w:tcBorders>
            <w:shd w:val="clear" w:color="auto" w:fill="FFFFFF"/>
            <w:vAlign w:val="center"/>
          </w:tcPr>
          <w:p w14:paraId="21DB293C"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.418**</w:t>
            </w:r>
          </w:p>
        </w:tc>
        <w:tc>
          <w:tcPr>
            <w:tcW w:w="824" w:type="pct"/>
            <w:tcBorders>
              <w:top w:val="nil"/>
              <w:left w:val="nil"/>
              <w:bottom w:val="single" w:sz="12" w:space="0" w:color="000000"/>
              <w:right w:val="nil"/>
            </w:tcBorders>
            <w:shd w:val="clear" w:color="auto" w:fill="FFFFFF"/>
            <w:vAlign w:val="center"/>
          </w:tcPr>
          <w:p w14:paraId="6FC9973E"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.477**</w:t>
            </w:r>
          </w:p>
        </w:tc>
        <w:tc>
          <w:tcPr>
            <w:tcW w:w="824" w:type="pct"/>
            <w:tcBorders>
              <w:top w:val="nil"/>
              <w:left w:val="nil"/>
              <w:bottom w:val="single" w:sz="12" w:space="0" w:color="000000"/>
              <w:right w:val="nil"/>
            </w:tcBorders>
            <w:shd w:val="clear" w:color="auto" w:fill="FFFFFF"/>
            <w:vAlign w:val="center"/>
          </w:tcPr>
          <w:p w14:paraId="23BC2B6C"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.486**</w:t>
            </w:r>
          </w:p>
        </w:tc>
        <w:tc>
          <w:tcPr>
            <w:tcW w:w="802" w:type="pct"/>
            <w:tcBorders>
              <w:top w:val="nil"/>
              <w:left w:val="nil"/>
              <w:bottom w:val="single" w:sz="12" w:space="0" w:color="000000"/>
              <w:right w:val="nil"/>
            </w:tcBorders>
            <w:shd w:val="clear" w:color="auto" w:fill="FFFFFF"/>
            <w:vAlign w:val="center"/>
          </w:tcPr>
          <w:p w14:paraId="04DA987E" w14:textId="77777777" w:rsidR="00147AD9" w:rsidRDefault="00000000">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w:t>
            </w:r>
          </w:p>
        </w:tc>
      </w:tr>
    </w:tbl>
    <w:p w14:paraId="3F8F8189" w14:textId="77777777" w:rsidR="00147AD9" w:rsidRDefault="00000000">
      <w:pPr>
        <w:rPr>
          <w:rFonts w:ascii="Times New Roman" w:hAnsi="Times New Roman" w:cs="Times New Roman"/>
          <w:bCs/>
          <w:sz w:val="22"/>
          <w:szCs w:val="22"/>
        </w:rPr>
      </w:pPr>
      <w:r>
        <w:rPr>
          <w:rStyle w:val="a7"/>
          <w:rFonts w:ascii="Times New Roman" w:eastAsia="宋体" w:hAnsi="Times New Roman" w:cs="Times New Roman"/>
          <w:b w:val="0"/>
          <w:bCs/>
          <w:sz w:val="22"/>
          <w:szCs w:val="22"/>
        </w:rPr>
        <w:t>Note.</w:t>
      </w:r>
      <w:r>
        <w:rPr>
          <w:rFonts w:ascii="Times New Roman" w:eastAsia="宋体" w:hAnsi="Times New Roman" w:cs="Times New Roman"/>
          <w:bCs/>
          <w:sz w:val="22"/>
          <w:szCs w:val="22"/>
        </w:rPr>
        <w:t xml:space="preserve"> </w:t>
      </w:r>
      <w:r>
        <w:rPr>
          <w:rStyle w:val="a7"/>
          <w:rFonts w:ascii="Times New Roman" w:eastAsia="宋体" w:hAnsi="Times New Roman" w:cs="Times New Roman"/>
          <w:b w:val="0"/>
          <w:bCs/>
          <w:sz w:val="22"/>
          <w:szCs w:val="22"/>
        </w:rPr>
        <w:t>p &lt; .01 (two-tailed), indicating statistical significance.</w:t>
      </w:r>
    </w:p>
    <w:p w14:paraId="7F6931CB" w14:textId="77777777" w:rsidR="00147AD9" w:rsidRDefault="00147AD9">
      <w:pPr>
        <w:rPr>
          <w:rFonts w:ascii="Times New Roman" w:eastAsia="方正大黑体_GBK" w:hAnsi="Times New Roman" w:cs="Times New Roman"/>
          <w:sz w:val="24"/>
        </w:rPr>
      </w:pPr>
    </w:p>
    <w:p w14:paraId="01A82E76"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4.4.2 Model Fit and Structural Path Analysis</w:t>
      </w:r>
    </w:p>
    <w:p w14:paraId="2C0B2622" w14:textId="77777777" w:rsidR="00147AD9" w:rsidRDefault="00000000">
      <w:pPr>
        <w:spacing w:afterLines="50" w:after="156"/>
        <w:rPr>
          <w:rFonts w:ascii="Times New Roman" w:eastAsia="方正大黑体_GBK" w:hAnsi="Times New Roman" w:cs="Times New Roman"/>
          <w:sz w:val="24"/>
        </w:rPr>
      </w:pPr>
      <w:r>
        <w:rPr>
          <w:rFonts w:ascii="Times New Roman" w:eastAsia="方正大黑体_GBK" w:hAnsi="Times New Roman" w:cs="Times New Roman"/>
          <w:sz w:val="24"/>
        </w:rPr>
        <w:t>Turning to Table 8, the SEM model’s goodness-of-fit indices indicate that the hypothesized structural model fits the data well. The chi-square to degrees of freedom ratio (χ²/df = 1.983) falls below the recommended threshold of 3.0, indicating an acceptable model fit. Moreover, incremental fit indices including the Comparative Fit Index (CFI = 0.970) and Tucker–Lewis Index (TLI = 0.961) exceed the widely accepted benchmark of 0.95. The absolute fit indices, namely the Root Mean Square Error of Approximation (RMSEA = 0.053) and the Standardized Root Mean Square Residual (SRMR = 0.047), are both below the 0.08 cutoff. These indices collectively suggest that the structural model adequately reproduces the observed data covariance structure (Hu &amp; Bentler, 1999; Hair et al., 2019).Figure 3 graphically illustrates the standardized path coefficients among constructs within the structural model. The path from CGC to EGB is positive and significant (β = 0.205, p &lt; 0.01), indicating a direct effect of organizational culture on employees’ green behaviors. In addition, CGC significantly predicts both GTL (β = 0.431, p &lt; 0.001) and PC (β = 0.383, p &lt; 0.001), which themselves are significant predictors of EGB (GTL: β = 0.276, p &lt; 0.001; PC: β = 0.284, p &lt; 0.001). These findings empirically support the hypothesized dual mediation mechanism. CGC does not exert its influence on EGB in isolation; rather, its effect is transmitted through relational leadership behavior and employees’ psychological interpretations of mutual commitment.</w:t>
      </w:r>
    </w:p>
    <w:p w14:paraId="42C2A1D9" w14:textId="77777777" w:rsidR="00147AD9" w:rsidRDefault="00000000">
      <w:pPr>
        <w:jc w:val="center"/>
        <w:rPr>
          <w:rFonts w:ascii="Times New Roman" w:hAnsi="Times New Roman" w:cs="Times New Roman"/>
          <w:sz w:val="22"/>
          <w:szCs w:val="22"/>
        </w:rPr>
      </w:pPr>
      <w:r>
        <w:rPr>
          <w:rFonts w:ascii="Times New Roman" w:eastAsia="宋体" w:hAnsi="Times New Roman" w:cs="Times New Roman"/>
          <w:sz w:val="22"/>
          <w:szCs w:val="22"/>
        </w:rPr>
        <w:t>Table 8  Model Fit Indices for Structural Equation Modeling (SEM)</w:t>
      </w:r>
    </w:p>
    <w:tbl>
      <w:tblPr>
        <w:tblpPr w:leftFromText="180" w:rightFromText="180" w:vertAnchor="text" w:horzAnchor="page" w:tblpX="1894" w:tblpY="306"/>
        <w:tblOverlap w:val="never"/>
        <w:tblW w:w="4999" w:type="pct"/>
        <w:tblLook w:val="04A0" w:firstRow="1" w:lastRow="0" w:firstColumn="1" w:lastColumn="0" w:noHBand="0" w:noVBand="1"/>
      </w:tblPr>
      <w:tblGrid>
        <w:gridCol w:w="1825"/>
        <w:gridCol w:w="4494"/>
        <w:gridCol w:w="1985"/>
      </w:tblGrid>
      <w:tr w:rsidR="00147AD9" w14:paraId="28378168" w14:textId="77777777">
        <w:trPr>
          <w:trHeight w:val="540"/>
        </w:trPr>
        <w:tc>
          <w:tcPr>
            <w:tcW w:w="1099" w:type="pct"/>
            <w:tcBorders>
              <w:top w:val="single" w:sz="12" w:space="0" w:color="000000"/>
              <w:left w:val="nil"/>
              <w:bottom w:val="single" w:sz="4" w:space="0" w:color="000000"/>
              <w:right w:val="nil"/>
              <w:tl2br w:val="nil"/>
            </w:tcBorders>
            <w:shd w:val="clear" w:color="auto" w:fill="FFFFFF"/>
            <w:vAlign w:val="center"/>
          </w:tcPr>
          <w:p w14:paraId="3FC7C95A"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Fit Index</w:t>
            </w:r>
          </w:p>
        </w:tc>
        <w:tc>
          <w:tcPr>
            <w:tcW w:w="2705" w:type="pct"/>
            <w:tcBorders>
              <w:top w:val="single" w:sz="12" w:space="0" w:color="000000"/>
              <w:left w:val="nil"/>
              <w:bottom w:val="single" w:sz="4" w:space="0" w:color="000000"/>
              <w:right w:val="nil"/>
            </w:tcBorders>
            <w:shd w:val="clear" w:color="auto" w:fill="FFFFFF"/>
            <w:vAlign w:val="center"/>
          </w:tcPr>
          <w:p w14:paraId="6E8456D0"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Recommended Threshold</w:t>
            </w:r>
          </w:p>
        </w:tc>
        <w:tc>
          <w:tcPr>
            <w:tcW w:w="1195" w:type="pct"/>
            <w:tcBorders>
              <w:top w:val="single" w:sz="12" w:space="0" w:color="000000"/>
              <w:left w:val="nil"/>
              <w:bottom w:val="single" w:sz="4" w:space="0" w:color="000000"/>
              <w:right w:val="nil"/>
            </w:tcBorders>
            <w:shd w:val="clear" w:color="auto" w:fill="FFFFFF"/>
            <w:vAlign w:val="center"/>
          </w:tcPr>
          <w:p w14:paraId="66035096"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Observed Value</w:t>
            </w:r>
          </w:p>
        </w:tc>
      </w:tr>
      <w:tr w:rsidR="00147AD9" w14:paraId="77D4B635" w14:textId="77777777">
        <w:trPr>
          <w:trHeight w:val="660"/>
        </w:trPr>
        <w:tc>
          <w:tcPr>
            <w:tcW w:w="1099" w:type="pct"/>
            <w:tcBorders>
              <w:top w:val="single" w:sz="4" w:space="0" w:color="000000"/>
              <w:left w:val="nil"/>
              <w:bottom w:val="nil"/>
              <w:right w:val="nil"/>
            </w:tcBorders>
            <w:shd w:val="clear" w:color="auto" w:fill="FFFFFF"/>
            <w:vAlign w:val="center"/>
          </w:tcPr>
          <w:p w14:paraId="746C305F"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CMIN/DF</w:t>
            </w:r>
          </w:p>
        </w:tc>
        <w:tc>
          <w:tcPr>
            <w:tcW w:w="2705" w:type="pct"/>
            <w:tcBorders>
              <w:top w:val="single" w:sz="4" w:space="0" w:color="000000"/>
              <w:left w:val="nil"/>
              <w:bottom w:val="nil"/>
              <w:right w:val="nil"/>
            </w:tcBorders>
            <w:shd w:val="clear" w:color="auto" w:fill="FFFFFF"/>
            <w:vAlign w:val="center"/>
          </w:tcPr>
          <w:p w14:paraId="75889230"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1–3: Excellent, 3–5: Acceptable</w:t>
            </w:r>
          </w:p>
        </w:tc>
        <w:tc>
          <w:tcPr>
            <w:tcW w:w="1195" w:type="pct"/>
            <w:tcBorders>
              <w:top w:val="single" w:sz="4" w:space="0" w:color="000000"/>
              <w:left w:val="nil"/>
              <w:bottom w:val="nil"/>
              <w:right w:val="nil"/>
            </w:tcBorders>
            <w:shd w:val="clear" w:color="auto" w:fill="FFFFFF"/>
            <w:vAlign w:val="center"/>
          </w:tcPr>
          <w:p w14:paraId="135D2803"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1.314</w:t>
            </w:r>
          </w:p>
        </w:tc>
      </w:tr>
      <w:tr w:rsidR="00147AD9" w14:paraId="5DE8F9DD" w14:textId="77777777">
        <w:trPr>
          <w:trHeight w:val="540"/>
        </w:trPr>
        <w:tc>
          <w:tcPr>
            <w:tcW w:w="1099" w:type="pct"/>
            <w:tcBorders>
              <w:top w:val="nil"/>
              <w:left w:val="nil"/>
              <w:bottom w:val="nil"/>
              <w:right w:val="nil"/>
            </w:tcBorders>
            <w:shd w:val="clear" w:color="auto" w:fill="FFFFFF"/>
            <w:vAlign w:val="center"/>
          </w:tcPr>
          <w:p w14:paraId="365EF528"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RMSEA</w:t>
            </w:r>
          </w:p>
        </w:tc>
        <w:tc>
          <w:tcPr>
            <w:tcW w:w="2705" w:type="pct"/>
            <w:tcBorders>
              <w:top w:val="nil"/>
              <w:left w:val="nil"/>
              <w:bottom w:val="nil"/>
              <w:right w:val="nil"/>
            </w:tcBorders>
            <w:shd w:val="clear" w:color="auto" w:fill="FFFFFF"/>
            <w:vAlign w:val="center"/>
          </w:tcPr>
          <w:p w14:paraId="73EFDA91"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&lt; 0.05: Excellent, &lt; 0.08: Acceptable</w:t>
            </w:r>
          </w:p>
        </w:tc>
        <w:tc>
          <w:tcPr>
            <w:tcW w:w="1195" w:type="pct"/>
            <w:tcBorders>
              <w:top w:val="nil"/>
              <w:left w:val="nil"/>
              <w:bottom w:val="nil"/>
              <w:right w:val="nil"/>
            </w:tcBorders>
            <w:shd w:val="clear" w:color="auto" w:fill="FFFFFF"/>
            <w:vAlign w:val="center"/>
          </w:tcPr>
          <w:p w14:paraId="53A0E11D"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0.03</w:t>
            </w:r>
          </w:p>
        </w:tc>
      </w:tr>
      <w:tr w:rsidR="00147AD9" w14:paraId="3FC523BC" w14:textId="77777777">
        <w:trPr>
          <w:trHeight w:val="680"/>
        </w:trPr>
        <w:tc>
          <w:tcPr>
            <w:tcW w:w="1099" w:type="pct"/>
            <w:tcBorders>
              <w:top w:val="nil"/>
              <w:left w:val="nil"/>
              <w:bottom w:val="nil"/>
              <w:right w:val="nil"/>
            </w:tcBorders>
            <w:shd w:val="clear" w:color="auto" w:fill="FFFFFF"/>
            <w:vAlign w:val="center"/>
          </w:tcPr>
          <w:p w14:paraId="4DC67571"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IFI</w:t>
            </w:r>
          </w:p>
        </w:tc>
        <w:tc>
          <w:tcPr>
            <w:tcW w:w="2705" w:type="pct"/>
            <w:tcBorders>
              <w:top w:val="nil"/>
              <w:left w:val="nil"/>
              <w:bottom w:val="nil"/>
              <w:right w:val="nil"/>
            </w:tcBorders>
            <w:shd w:val="clear" w:color="auto" w:fill="FFFFFF"/>
            <w:vAlign w:val="center"/>
          </w:tcPr>
          <w:p w14:paraId="519447F1"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&gt; 0.90: Excellent, &gt; 0.80: Acceptable</w:t>
            </w:r>
          </w:p>
        </w:tc>
        <w:tc>
          <w:tcPr>
            <w:tcW w:w="1195" w:type="pct"/>
            <w:tcBorders>
              <w:top w:val="nil"/>
              <w:left w:val="nil"/>
              <w:bottom w:val="nil"/>
              <w:right w:val="nil"/>
            </w:tcBorders>
            <w:shd w:val="clear" w:color="auto" w:fill="FFFFFF"/>
            <w:vAlign w:val="center"/>
          </w:tcPr>
          <w:p w14:paraId="4098C4DD"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0.989</w:t>
            </w:r>
          </w:p>
        </w:tc>
      </w:tr>
      <w:tr w:rsidR="00147AD9" w14:paraId="32AFFB7F" w14:textId="77777777">
        <w:trPr>
          <w:trHeight w:val="540"/>
        </w:trPr>
        <w:tc>
          <w:tcPr>
            <w:tcW w:w="1099" w:type="pct"/>
            <w:tcBorders>
              <w:top w:val="nil"/>
              <w:left w:val="nil"/>
              <w:bottom w:val="nil"/>
              <w:right w:val="nil"/>
            </w:tcBorders>
            <w:shd w:val="clear" w:color="auto" w:fill="FFFFFF"/>
            <w:vAlign w:val="center"/>
          </w:tcPr>
          <w:p w14:paraId="08F8A7C9"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TLI</w:t>
            </w:r>
          </w:p>
        </w:tc>
        <w:tc>
          <w:tcPr>
            <w:tcW w:w="2705" w:type="pct"/>
            <w:tcBorders>
              <w:top w:val="nil"/>
              <w:left w:val="nil"/>
              <w:bottom w:val="nil"/>
              <w:right w:val="nil"/>
            </w:tcBorders>
            <w:shd w:val="clear" w:color="auto" w:fill="FFFFFF"/>
            <w:vAlign w:val="center"/>
          </w:tcPr>
          <w:p w14:paraId="46497E3F"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&gt; 0.90: Excellent, &gt; 0.80: Acceptable</w:t>
            </w:r>
          </w:p>
        </w:tc>
        <w:tc>
          <w:tcPr>
            <w:tcW w:w="1195" w:type="pct"/>
            <w:tcBorders>
              <w:top w:val="nil"/>
              <w:left w:val="nil"/>
              <w:bottom w:val="nil"/>
              <w:right w:val="nil"/>
            </w:tcBorders>
            <w:shd w:val="clear" w:color="auto" w:fill="FFFFFF"/>
            <w:vAlign w:val="center"/>
          </w:tcPr>
          <w:p w14:paraId="0C7D0185"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0.987</w:t>
            </w:r>
          </w:p>
        </w:tc>
      </w:tr>
      <w:tr w:rsidR="00147AD9" w14:paraId="74C1FB31" w14:textId="77777777">
        <w:trPr>
          <w:trHeight w:val="580"/>
        </w:trPr>
        <w:tc>
          <w:tcPr>
            <w:tcW w:w="1099" w:type="pct"/>
            <w:tcBorders>
              <w:top w:val="nil"/>
              <w:left w:val="nil"/>
              <w:bottom w:val="single" w:sz="12" w:space="0" w:color="000000"/>
              <w:right w:val="nil"/>
            </w:tcBorders>
            <w:shd w:val="clear" w:color="auto" w:fill="FFFFFF"/>
            <w:vAlign w:val="center"/>
          </w:tcPr>
          <w:p w14:paraId="2450091C"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CFI</w:t>
            </w:r>
          </w:p>
        </w:tc>
        <w:tc>
          <w:tcPr>
            <w:tcW w:w="2705" w:type="pct"/>
            <w:tcBorders>
              <w:top w:val="nil"/>
              <w:left w:val="nil"/>
              <w:bottom w:val="single" w:sz="12" w:space="0" w:color="000000"/>
              <w:right w:val="nil"/>
            </w:tcBorders>
            <w:shd w:val="clear" w:color="auto" w:fill="FFFFFF"/>
            <w:vAlign w:val="center"/>
          </w:tcPr>
          <w:p w14:paraId="2D7A4613"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&gt; 0.90: Excellent, &gt; 0.80: Acceptable</w:t>
            </w:r>
          </w:p>
        </w:tc>
        <w:tc>
          <w:tcPr>
            <w:tcW w:w="1195" w:type="pct"/>
            <w:tcBorders>
              <w:top w:val="nil"/>
              <w:left w:val="nil"/>
              <w:bottom w:val="single" w:sz="12" w:space="0" w:color="000000"/>
              <w:right w:val="nil"/>
            </w:tcBorders>
            <w:shd w:val="clear" w:color="auto" w:fill="FFFFFF"/>
            <w:vAlign w:val="center"/>
          </w:tcPr>
          <w:p w14:paraId="46DF04A5"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0.989</w:t>
            </w:r>
          </w:p>
        </w:tc>
      </w:tr>
    </w:tbl>
    <w:p w14:paraId="50CE6B0E" w14:textId="77777777" w:rsidR="00147AD9" w:rsidRDefault="00147AD9">
      <w:pPr>
        <w:rPr>
          <w:rFonts w:ascii="Times New Roman" w:eastAsia="方正大黑体_GBK" w:hAnsi="Times New Roman" w:cs="Times New Roman"/>
          <w:sz w:val="24"/>
        </w:rPr>
      </w:pPr>
    </w:p>
    <w:p w14:paraId="19EDD36D" w14:textId="77777777" w:rsidR="00147AD9" w:rsidRDefault="00000000">
      <w:pPr>
        <w:rPr>
          <w:rFonts w:ascii="Times New Roman" w:hAnsi="Times New Roman" w:cs="Times New Roman"/>
        </w:rPr>
      </w:pPr>
      <w:r>
        <w:rPr>
          <w:rFonts w:ascii="Times New Roman" w:hAnsi="Times New Roman" w:cs="Times New Roman"/>
          <w:noProof/>
        </w:rPr>
        <w:lastRenderedPageBreak/>
        <w:drawing>
          <wp:inline distT="0" distB="0" distL="114300" distR="114300" wp14:anchorId="5B3F0B66" wp14:editId="1CA53022">
            <wp:extent cx="5271770" cy="2773680"/>
            <wp:effectExtent l="0" t="0" r="508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71770" cy="2773680"/>
                    </a:xfrm>
                    <a:prstGeom prst="rect">
                      <a:avLst/>
                    </a:prstGeom>
                    <a:noFill/>
                    <a:ln>
                      <a:noFill/>
                    </a:ln>
                  </pic:spPr>
                </pic:pic>
              </a:graphicData>
            </a:graphic>
          </wp:inline>
        </w:drawing>
      </w:r>
    </w:p>
    <w:p w14:paraId="53D4C02F" w14:textId="77777777" w:rsidR="00147AD9" w:rsidRDefault="00000000">
      <w:pPr>
        <w:jc w:val="center"/>
        <w:rPr>
          <w:rFonts w:ascii="Times New Roman" w:eastAsia="宋体" w:hAnsi="Times New Roman" w:cs="Times New Roman"/>
          <w:sz w:val="22"/>
          <w:szCs w:val="22"/>
        </w:rPr>
      </w:pPr>
      <w:r>
        <w:rPr>
          <w:rFonts w:ascii="Times New Roman" w:eastAsia="宋体" w:hAnsi="Times New Roman" w:cs="Times New Roman"/>
          <w:sz w:val="22"/>
          <w:szCs w:val="22"/>
        </w:rPr>
        <w:t>Figure3  Structural Equation Modeling (SEM) of the Hypothesized Relationships</w:t>
      </w:r>
    </w:p>
    <w:p w14:paraId="23DD9EC5"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4.5 Path Analysis of Structural Model</w:t>
      </w:r>
    </w:p>
    <w:p w14:paraId="0820C14A"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The structural path analysis results presented in Table 9 provide comprehensive empirical evidence for the hypothesized relationships within the proposed model. All key paths exhibit statistically significant standardized coefficients, confirming the theoretical structure and causal assumptions of the conceptual framework.</w:t>
      </w:r>
    </w:p>
    <w:p w14:paraId="6BA3DF90"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4.5.1 Corporate Green Culture (CGC) as a Foundational Driver</w:t>
      </w:r>
    </w:p>
    <w:p w14:paraId="08C4938C"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First, CGC demonstrated significant positive effects on both mediating variables: green leadership (GL) (β = 0.522, S.E. = 0.063, C.R. = 8.201, p &lt; 0.001) and psychological contract (PC) (β = 0.440, S.E. = 0.065, C.R. = 7.112, p &lt; 0.001). These results affirm the theorized role of CGC as a distal institutional force that shapes both relational (leadership behavior) and cognitive-affective (perceived obligation) mechanisms through which green behaviors are fostered. The stronger path coefficient toward GL suggests that CGC may be more immediately manifested through leadership enactment than through contract-based internalization.</w:t>
      </w:r>
    </w:p>
    <w:p w14:paraId="785D1BA0"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4.5.2 Mediators to Outcome: GL and PC as Behavioral Translators</w:t>
      </w:r>
    </w:p>
    <w:p w14:paraId="26F9CB0D"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Both GL and PC significantly predicted employee green behavior (EGB), with standardized path coefficients of 0.258 (S.E. = 0.066, C.R. = 3.832, p &lt; 0.001) and 0.319 (S.E. = 0.058, C.R. = 5.043, p &lt; 0.001), respectively. These findings confirm that leaders who model and reinforce environmental values, and psychological contracts that embed mutual ecological expectations, are effective mechanisms for eliciting voluntary green behavior. Notably, the effect of PC on EGB is slightly stronger than that of GL, suggesting that internalized psychological agreements may play a more enduring role in sustaining green actions than leadership signals alone—an observation supported by recent literature emphasizing the durability of PC-based motivations (Arslan et al., 2025).</w:t>
      </w:r>
    </w:p>
    <w:p w14:paraId="57EF8A5D"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lastRenderedPageBreak/>
        <w:t>4.5.3 Direct Effect of CGC on EGB</w:t>
      </w:r>
    </w:p>
    <w:p w14:paraId="1B9BE70E"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Importantly, the direct path from CGC to EGB remains significant (β = 0.174, S.E. = 0.071, C.R. = 2.370, p = 0.018), albeit at a lower magnitude than the indirect paths. This implies that while CGC exerts a substantial indirect influence through GL and PC, it also contributes uniquely to employee behavior through other latent or unmodeled channels. The presence of a significant direct effect alongside indirect mediating paths supports a partial mediation structure, indicating that CGC not only activates leadership and psychological mechanisms but also shapes behavioral norms directly via organizational climate, identity, and role expectations (Zhang, Xu, &amp; Liu, 2025; Rubel et al., 2025).</w:t>
      </w:r>
    </w:p>
    <w:p w14:paraId="46FBD2B0"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4.5.4 Implications for Structural Model Integrity</w:t>
      </w:r>
    </w:p>
    <w:p w14:paraId="45CE722B"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The clarity and consistency of these path estimates support the robustness of the structural model and validate the theoretical assumptions of multi-path influence from cultural antecedents to individual outcomes. The statistically significant and theoretically meaningful paths from CGC to both mediators, and from each mediator to EGB, substantiate the conceptualization of green leadership and psychological contract as dual mediators in the CGC–EGB linkage. Moreover, the retention of a significant direct path from CGC to EGB highlights the multifaceted nature of green culture’s influence—suggesting that while organizational culture sets the stage for relational and psychological transmission, it also exerts a baseline behavioral force through contextual cues and normative pressures.</w:t>
      </w:r>
    </w:p>
    <w:p w14:paraId="1BFEB95C" w14:textId="77777777" w:rsidR="00147AD9" w:rsidRDefault="00000000">
      <w:pPr>
        <w:tabs>
          <w:tab w:val="left" w:pos="663"/>
        </w:tabs>
        <w:jc w:val="center"/>
        <w:rPr>
          <w:rFonts w:ascii="Times New Roman" w:hAnsi="Times New Roman" w:cs="Times New Roman"/>
          <w:sz w:val="22"/>
          <w:szCs w:val="22"/>
        </w:rPr>
      </w:pPr>
      <w:r>
        <w:rPr>
          <w:rFonts w:ascii="Times New Roman" w:eastAsia="宋体" w:hAnsi="Times New Roman" w:cs="Times New Roman"/>
          <w:sz w:val="22"/>
          <w:szCs w:val="22"/>
        </w:rPr>
        <w:t>Table 9  Structural Path Estimates from Structural Equation Modeling (SEM)</w:t>
      </w:r>
    </w:p>
    <w:tbl>
      <w:tblPr>
        <w:tblW w:w="4949" w:type="pct"/>
        <w:tblLayout w:type="fixed"/>
        <w:tblLook w:val="04A0" w:firstRow="1" w:lastRow="0" w:firstColumn="1" w:lastColumn="0" w:noHBand="0" w:noVBand="1"/>
      </w:tblPr>
      <w:tblGrid>
        <w:gridCol w:w="1992"/>
        <w:gridCol w:w="708"/>
        <w:gridCol w:w="2340"/>
        <w:gridCol w:w="858"/>
        <w:gridCol w:w="733"/>
        <w:gridCol w:w="773"/>
        <w:gridCol w:w="817"/>
      </w:tblGrid>
      <w:tr w:rsidR="00147AD9" w14:paraId="453B211F" w14:textId="77777777">
        <w:trPr>
          <w:trHeight w:val="509"/>
        </w:trPr>
        <w:tc>
          <w:tcPr>
            <w:tcW w:w="1210" w:type="pct"/>
            <w:tcBorders>
              <w:top w:val="single" w:sz="12" w:space="0" w:color="000000"/>
              <w:left w:val="nil"/>
              <w:bottom w:val="single" w:sz="4" w:space="0" w:color="000000"/>
              <w:right w:val="nil"/>
              <w:tl2br w:val="nil"/>
            </w:tcBorders>
            <w:shd w:val="clear" w:color="auto" w:fill="FFFFFF"/>
            <w:noWrap/>
            <w:vAlign w:val="center"/>
          </w:tcPr>
          <w:p w14:paraId="1619BAD1" w14:textId="77777777" w:rsidR="00147AD9" w:rsidRDefault="00147AD9">
            <w:pPr>
              <w:jc w:val="center"/>
              <w:rPr>
                <w:rFonts w:ascii="Times New Roman" w:hAnsi="Times New Roman" w:cs="Times New Roman"/>
                <w:color w:val="000000"/>
                <w:sz w:val="22"/>
                <w:szCs w:val="22"/>
              </w:rPr>
            </w:pPr>
          </w:p>
        </w:tc>
        <w:tc>
          <w:tcPr>
            <w:tcW w:w="430" w:type="pct"/>
            <w:tcBorders>
              <w:top w:val="single" w:sz="12" w:space="0" w:color="000000"/>
              <w:left w:val="nil"/>
              <w:bottom w:val="single" w:sz="4" w:space="0" w:color="000000"/>
              <w:right w:val="nil"/>
            </w:tcBorders>
            <w:shd w:val="clear" w:color="auto" w:fill="FFFFFF"/>
            <w:noWrap/>
            <w:vAlign w:val="center"/>
          </w:tcPr>
          <w:p w14:paraId="7420A6D5" w14:textId="77777777" w:rsidR="00147AD9" w:rsidRDefault="00147AD9">
            <w:pPr>
              <w:jc w:val="center"/>
              <w:rPr>
                <w:rFonts w:ascii="Times New Roman" w:hAnsi="Times New Roman" w:cs="Times New Roman"/>
                <w:color w:val="000000"/>
                <w:sz w:val="22"/>
                <w:szCs w:val="22"/>
              </w:rPr>
            </w:pPr>
          </w:p>
        </w:tc>
        <w:tc>
          <w:tcPr>
            <w:tcW w:w="1422" w:type="pct"/>
            <w:tcBorders>
              <w:top w:val="single" w:sz="12" w:space="0" w:color="000000"/>
              <w:left w:val="nil"/>
              <w:bottom w:val="single" w:sz="4" w:space="0" w:color="000000"/>
              <w:right w:val="nil"/>
            </w:tcBorders>
            <w:shd w:val="clear" w:color="auto" w:fill="FFFFFF"/>
            <w:vAlign w:val="center"/>
          </w:tcPr>
          <w:p w14:paraId="23AD4173"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Path Relationship</w:t>
            </w:r>
          </w:p>
        </w:tc>
        <w:tc>
          <w:tcPr>
            <w:tcW w:w="522" w:type="pct"/>
            <w:tcBorders>
              <w:top w:val="single" w:sz="12" w:space="0" w:color="000000"/>
              <w:left w:val="nil"/>
              <w:bottom w:val="single" w:sz="4" w:space="0" w:color="000000"/>
              <w:right w:val="nil"/>
            </w:tcBorders>
            <w:shd w:val="clear" w:color="auto" w:fill="FFFFFF"/>
            <w:vAlign w:val="center"/>
          </w:tcPr>
          <w:p w14:paraId="48B4AD39"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Estimate</w:t>
            </w:r>
          </w:p>
        </w:tc>
        <w:tc>
          <w:tcPr>
            <w:tcW w:w="446" w:type="pct"/>
            <w:tcBorders>
              <w:top w:val="single" w:sz="12" w:space="0" w:color="000000"/>
              <w:left w:val="nil"/>
              <w:bottom w:val="single" w:sz="4" w:space="0" w:color="000000"/>
              <w:right w:val="nil"/>
            </w:tcBorders>
            <w:shd w:val="clear" w:color="auto" w:fill="FFFFFF"/>
            <w:vAlign w:val="center"/>
          </w:tcPr>
          <w:p w14:paraId="56663261"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S.E.</w:t>
            </w:r>
          </w:p>
        </w:tc>
        <w:tc>
          <w:tcPr>
            <w:tcW w:w="470" w:type="pct"/>
            <w:tcBorders>
              <w:top w:val="single" w:sz="12" w:space="0" w:color="000000"/>
              <w:left w:val="nil"/>
              <w:bottom w:val="single" w:sz="4" w:space="0" w:color="000000"/>
              <w:right w:val="nil"/>
            </w:tcBorders>
            <w:shd w:val="clear" w:color="auto" w:fill="FFFFFF"/>
            <w:vAlign w:val="center"/>
          </w:tcPr>
          <w:p w14:paraId="29A7A8CD"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C.R.</w:t>
            </w:r>
          </w:p>
        </w:tc>
        <w:tc>
          <w:tcPr>
            <w:tcW w:w="497" w:type="pct"/>
            <w:tcBorders>
              <w:top w:val="single" w:sz="12" w:space="0" w:color="000000"/>
              <w:left w:val="nil"/>
              <w:bottom w:val="single" w:sz="4" w:space="0" w:color="000000"/>
              <w:right w:val="nil"/>
            </w:tcBorders>
            <w:shd w:val="clear" w:color="auto" w:fill="FFFFFF"/>
            <w:vAlign w:val="center"/>
          </w:tcPr>
          <w:p w14:paraId="20039A17"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p-value</w:t>
            </w:r>
          </w:p>
        </w:tc>
      </w:tr>
      <w:tr w:rsidR="00147AD9" w14:paraId="11E99C19" w14:textId="77777777">
        <w:trPr>
          <w:trHeight w:val="494"/>
        </w:trPr>
        <w:tc>
          <w:tcPr>
            <w:tcW w:w="1210" w:type="pct"/>
            <w:tcBorders>
              <w:top w:val="single" w:sz="4" w:space="0" w:color="000000"/>
              <w:left w:val="nil"/>
              <w:bottom w:val="nil"/>
              <w:right w:val="nil"/>
            </w:tcBorders>
            <w:shd w:val="clear" w:color="auto" w:fill="FFFFFF"/>
            <w:noWrap/>
            <w:vAlign w:val="center"/>
          </w:tcPr>
          <w:p w14:paraId="08728805"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Green Leadership (GL)</w:t>
            </w:r>
          </w:p>
        </w:tc>
        <w:tc>
          <w:tcPr>
            <w:tcW w:w="430" w:type="pct"/>
            <w:tcBorders>
              <w:top w:val="single" w:sz="4" w:space="0" w:color="000000"/>
              <w:left w:val="nil"/>
              <w:bottom w:val="nil"/>
              <w:right w:val="nil"/>
            </w:tcBorders>
            <w:shd w:val="clear" w:color="auto" w:fill="FFFFFF"/>
            <w:noWrap/>
            <w:vAlign w:val="center"/>
          </w:tcPr>
          <w:p w14:paraId="2CD8CE8E"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&lt;---</w:t>
            </w:r>
          </w:p>
        </w:tc>
        <w:tc>
          <w:tcPr>
            <w:tcW w:w="1422" w:type="pct"/>
            <w:tcBorders>
              <w:top w:val="single" w:sz="4" w:space="0" w:color="000000"/>
              <w:left w:val="nil"/>
              <w:bottom w:val="nil"/>
              <w:right w:val="nil"/>
            </w:tcBorders>
            <w:shd w:val="clear" w:color="auto" w:fill="FFFFFF"/>
            <w:vAlign w:val="center"/>
          </w:tcPr>
          <w:p w14:paraId="1478F3E8"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Corporate Green Culture (CGC)</w:t>
            </w:r>
          </w:p>
        </w:tc>
        <w:tc>
          <w:tcPr>
            <w:tcW w:w="522" w:type="pct"/>
            <w:tcBorders>
              <w:top w:val="single" w:sz="4" w:space="0" w:color="000000"/>
              <w:left w:val="nil"/>
              <w:bottom w:val="nil"/>
              <w:right w:val="nil"/>
            </w:tcBorders>
            <w:shd w:val="clear" w:color="auto" w:fill="FFFFFF"/>
            <w:vAlign w:val="center"/>
          </w:tcPr>
          <w:p w14:paraId="7F31C858"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0.522</w:t>
            </w:r>
          </w:p>
        </w:tc>
        <w:tc>
          <w:tcPr>
            <w:tcW w:w="446" w:type="pct"/>
            <w:tcBorders>
              <w:top w:val="single" w:sz="4" w:space="0" w:color="000000"/>
              <w:left w:val="nil"/>
              <w:bottom w:val="nil"/>
              <w:right w:val="nil"/>
            </w:tcBorders>
            <w:shd w:val="clear" w:color="auto" w:fill="FFFFFF"/>
            <w:vAlign w:val="center"/>
          </w:tcPr>
          <w:p w14:paraId="33DFD999"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0.063</w:t>
            </w:r>
          </w:p>
        </w:tc>
        <w:tc>
          <w:tcPr>
            <w:tcW w:w="470" w:type="pct"/>
            <w:tcBorders>
              <w:top w:val="single" w:sz="4" w:space="0" w:color="000000"/>
              <w:left w:val="nil"/>
              <w:bottom w:val="nil"/>
              <w:right w:val="nil"/>
            </w:tcBorders>
            <w:shd w:val="clear" w:color="auto" w:fill="FFFFFF"/>
            <w:vAlign w:val="center"/>
          </w:tcPr>
          <w:p w14:paraId="2DAB7F5A"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8.201</w:t>
            </w:r>
          </w:p>
        </w:tc>
        <w:tc>
          <w:tcPr>
            <w:tcW w:w="497" w:type="pct"/>
            <w:tcBorders>
              <w:top w:val="single" w:sz="4" w:space="0" w:color="000000"/>
              <w:left w:val="nil"/>
              <w:bottom w:val="nil"/>
              <w:right w:val="nil"/>
            </w:tcBorders>
            <w:shd w:val="clear" w:color="auto" w:fill="FFFFFF"/>
            <w:vAlign w:val="center"/>
          </w:tcPr>
          <w:p w14:paraId="27415F16"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r>
      <w:tr w:rsidR="00147AD9" w14:paraId="27CE10E7" w14:textId="77777777">
        <w:trPr>
          <w:trHeight w:val="486"/>
        </w:trPr>
        <w:tc>
          <w:tcPr>
            <w:tcW w:w="1210" w:type="pct"/>
            <w:tcBorders>
              <w:top w:val="nil"/>
              <w:left w:val="nil"/>
              <w:bottom w:val="nil"/>
              <w:right w:val="nil"/>
            </w:tcBorders>
            <w:shd w:val="clear" w:color="auto" w:fill="FFFFFF"/>
            <w:noWrap/>
            <w:vAlign w:val="center"/>
          </w:tcPr>
          <w:p w14:paraId="4A161B09"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Psychological Contract (PC)</w:t>
            </w:r>
          </w:p>
        </w:tc>
        <w:tc>
          <w:tcPr>
            <w:tcW w:w="430" w:type="pct"/>
            <w:tcBorders>
              <w:top w:val="nil"/>
              <w:left w:val="nil"/>
              <w:bottom w:val="nil"/>
              <w:right w:val="nil"/>
            </w:tcBorders>
            <w:shd w:val="clear" w:color="auto" w:fill="FFFFFF"/>
            <w:noWrap/>
            <w:vAlign w:val="center"/>
          </w:tcPr>
          <w:p w14:paraId="4D180BB3"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&lt;---</w:t>
            </w:r>
          </w:p>
        </w:tc>
        <w:tc>
          <w:tcPr>
            <w:tcW w:w="1422" w:type="pct"/>
            <w:tcBorders>
              <w:top w:val="nil"/>
              <w:left w:val="nil"/>
              <w:bottom w:val="nil"/>
              <w:right w:val="nil"/>
            </w:tcBorders>
            <w:shd w:val="clear" w:color="auto" w:fill="FFFFFF"/>
            <w:vAlign w:val="center"/>
          </w:tcPr>
          <w:p w14:paraId="2E85AD4B"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Corporate Green Culture (CGC)</w:t>
            </w:r>
          </w:p>
        </w:tc>
        <w:tc>
          <w:tcPr>
            <w:tcW w:w="522" w:type="pct"/>
            <w:tcBorders>
              <w:top w:val="nil"/>
              <w:left w:val="nil"/>
              <w:bottom w:val="nil"/>
              <w:right w:val="nil"/>
            </w:tcBorders>
            <w:shd w:val="clear" w:color="auto" w:fill="FFFFFF"/>
            <w:vAlign w:val="center"/>
          </w:tcPr>
          <w:p w14:paraId="5955D2DD"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0.44</w:t>
            </w:r>
          </w:p>
        </w:tc>
        <w:tc>
          <w:tcPr>
            <w:tcW w:w="446" w:type="pct"/>
            <w:tcBorders>
              <w:top w:val="nil"/>
              <w:left w:val="nil"/>
              <w:bottom w:val="nil"/>
              <w:right w:val="nil"/>
            </w:tcBorders>
            <w:shd w:val="clear" w:color="auto" w:fill="FFFFFF"/>
            <w:vAlign w:val="center"/>
          </w:tcPr>
          <w:p w14:paraId="4C87401A"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0.065</w:t>
            </w:r>
          </w:p>
        </w:tc>
        <w:tc>
          <w:tcPr>
            <w:tcW w:w="470" w:type="pct"/>
            <w:tcBorders>
              <w:top w:val="nil"/>
              <w:left w:val="nil"/>
              <w:bottom w:val="nil"/>
              <w:right w:val="nil"/>
            </w:tcBorders>
            <w:shd w:val="clear" w:color="auto" w:fill="FFFFFF"/>
            <w:vAlign w:val="center"/>
          </w:tcPr>
          <w:p w14:paraId="7BB2FAC9"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7.112</w:t>
            </w:r>
          </w:p>
        </w:tc>
        <w:tc>
          <w:tcPr>
            <w:tcW w:w="497" w:type="pct"/>
            <w:tcBorders>
              <w:top w:val="nil"/>
              <w:left w:val="nil"/>
              <w:bottom w:val="nil"/>
              <w:right w:val="nil"/>
            </w:tcBorders>
            <w:shd w:val="clear" w:color="auto" w:fill="FFFFFF"/>
            <w:vAlign w:val="center"/>
          </w:tcPr>
          <w:p w14:paraId="1C4BECF4"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r>
      <w:tr w:rsidR="00147AD9" w14:paraId="47B58A35" w14:textId="77777777">
        <w:trPr>
          <w:trHeight w:val="486"/>
        </w:trPr>
        <w:tc>
          <w:tcPr>
            <w:tcW w:w="1210" w:type="pct"/>
            <w:tcBorders>
              <w:top w:val="nil"/>
              <w:left w:val="nil"/>
              <w:bottom w:val="nil"/>
              <w:right w:val="nil"/>
            </w:tcBorders>
            <w:shd w:val="clear" w:color="auto" w:fill="FFFFFF"/>
            <w:noWrap/>
            <w:vAlign w:val="center"/>
          </w:tcPr>
          <w:p w14:paraId="276B339A"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Employee Green Behavior (EGB)</w:t>
            </w:r>
          </w:p>
        </w:tc>
        <w:tc>
          <w:tcPr>
            <w:tcW w:w="430" w:type="pct"/>
            <w:tcBorders>
              <w:top w:val="nil"/>
              <w:left w:val="nil"/>
              <w:bottom w:val="nil"/>
              <w:right w:val="nil"/>
            </w:tcBorders>
            <w:shd w:val="clear" w:color="auto" w:fill="FFFFFF"/>
            <w:noWrap/>
            <w:vAlign w:val="center"/>
          </w:tcPr>
          <w:p w14:paraId="56A771F0"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&lt;---</w:t>
            </w:r>
          </w:p>
        </w:tc>
        <w:tc>
          <w:tcPr>
            <w:tcW w:w="1422" w:type="pct"/>
            <w:tcBorders>
              <w:top w:val="nil"/>
              <w:left w:val="nil"/>
              <w:bottom w:val="nil"/>
              <w:right w:val="nil"/>
            </w:tcBorders>
            <w:shd w:val="clear" w:color="auto" w:fill="FFFFFF"/>
            <w:vAlign w:val="center"/>
          </w:tcPr>
          <w:p w14:paraId="70CAD99A"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Green Leadership (GL)</w:t>
            </w:r>
          </w:p>
        </w:tc>
        <w:tc>
          <w:tcPr>
            <w:tcW w:w="522" w:type="pct"/>
            <w:tcBorders>
              <w:top w:val="nil"/>
              <w:left w:val="nil"/>
              <w:bottom w:val="nil"/>
              <w:right w:val="nil"/>
            </w:tcBorders>
            <w:shd w:val="clear" w:color="auto" w:fill="FFFFFF"/>
            <w:vAlign w:val="center"/>
          </w:tcPr>
          <w:p w14:paraId="310AEBD9"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0.258</w:t>
            </w:r>
          </w:p>
        </w:tc>
        <w:tc>
          <w:tcPr>
            <w:tcW w:w="446" w:type="pct"/>
            <w:tcBorders>
              <w:top w:val="nil"/>
              <w:left w:val="nil"/>
              <w:bottom w:val="nil"/>
              <w:right w:val="nil"/>
            </w:tcBorders>
            <w:shd w:val="clear" w:color="auto" w:fill="FFFFFF"/>
            <w:vAlign w:val="center"/>
          </w:tcPr>
          <w:p w14:paraId="0B06A3E6"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0.066</w:t>
            </w:r>
          </w:p>
        </w:tc>
        <w:tc>
          <w:tcPr>
            <w:tcW w:w="470" w:type="pct"/>
            <w:tcBorders>
              <w:top w:val="nil"/>
              <w:left w:val="nil"/>
              <w:bottom w:val="nil"/>
              <w:right w:val="nil"/>
            </w:tcBorders>
            <w:shd w:val="clear" w:color="auto" w:fill="FFFFFF"/>
            <w:vAlign w:val="center"/>
          </w:tcPr>
          <w:p w14:paraId="18CA6DA6"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3.832</w:t>
            </w:r>
          </w:p>
        </w:tc>
        <w:tc>
          <w:tcPr>
            <w:tcW w:w="497" w:type="pct"/>
            <w:tcBorders>
              <w:top w:val="nil"/>
              <w:left w:val="nil"/>
              <w:bottom w:val="nil"/>
              <w:right w:val="nil"/>
            </w:tcBorders>
            <w:shd w:val="clear" w:color="auto" w:fill="FFFFFF"/>
            <w:vAlign w:val="center"/>
          </w:tcPr>
          <w:p w14:paraId="28DD2A89"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r>
      <w:tr w:rsidR="00147AD9" w14:paraId="4B89FC12" w14:textId="77777777">
        <w:trPr>
          <w:trHeight w:val="486"/>
        </w:trPr>
        <w:tc>
          <w:tcPr>
            <w:tcW w:w="1210" w:type="pct"/>
            <w:tcBorders>
              <w:top w:val="nil"/>
              <w:left w:val="nil"/>
              <w:bottom w:val="nil"/>
              <w:right w:val="nil"/>
            </w:tcBorders>
            <w:shd w:val="clear" w:color="auto" w:fill="FFFFFF"/>
            <w:noWrap/>
            <w:vAlign w:val="center"/>
          </w:tcPr>
          <w:p w14:paraId="1A83F530"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Employee Green Behavior (EGB)</w:t>
            </w:r>
          </w:p>
        </w:tc>
        <w:tc>
          <w:tcPr>
            <w:tcW w:w="430" w:type="pct"/>
            <w:tcBorders>
              <w:top w:val="nil"/>
              <w:left w:val="nil"/>
              <w:bottom w:val="nil"/>
              <w:right w:val="nil"/>
            </w:tcBorders>
            <w:shd w:val="clear" w:color="auto" w:fill="FFFFFF"/>
            <w:noWrap/>
            <w:vAlign w:val="center"/>
          </w:tcPr>
          <w:p w14:paraId="5361F56C"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&lt;---</w:t>
            </w:r>
          </w:p>
        </w:tc>
        <w:tc>
          <w:tcPr>
            <w:tcW w:w="1422" w:type="pct"/>
            <w:tcBorders>
              <w:top w:val="nil"/>
              <w:left w:val="nil"/>
              <w:bottom w:val="nil"/>
              <w:right w:val="nil"/>
            </w:tcBorders>
            <w:shd w:val="clear" w:color="auto" w:fill="FFFFFF"/>
            <w:vAlign w:val="center"/>
          </w:tcPr>
          <w:p w14:paraId="701118E8"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Corporate Green Culture (CGC)</w:t>
            </w:r>
          </w:p>
        </w:tc>
        <w:tc>
          <w:tcPr>
            <w:tcW w:w="522" w:type="pct"/>
            <w:tcBorders>
              <w:top w:val="nil"/>
              <w:left w:val="nil"/>
              <w:bottom w:val="nil"/>
              <w:right w:val="nil"/>
            </w:tcBorders>
            <w:shd w:val="clear" w:color="auto" w:fill="FFFFFF"/>
            <w:vAlign w:val="center"/>
          </w:tcPr>
          <w:p w14:paraId="5AF572F7"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0.174</w:t>
            </w:r>
          </w:p>
        </w:tc>
        <w:tc>
          <w:tcPr>
            <w:tcW w:w="446" w:type="pct"/>
            <w:tcBorders>
              <w:top w:val="nil"/>
              <w:left w:val="nil"/>
              <w:bottom w:val="nil"/>
              <w:right w:val="nil"/>
            </w:tcBorders>
            <w:shd w:val="clear" w:color="auto" w:fill="FFFFFF"/>
            <w:vAlign w:val="center"/>
          </w:tcPr>
          <w:p w14:paraId="15486325"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0.071</w:t>
            </w:r>
          </w:p>
        </w:tc>
        <w:tc>
          <w:tcPr>
            <w:tcW w:w="470" w:type="pct"/>
            <w:tcBorders>
              <w:top w:val="nil"/>
              <w:left w:val="nil"/>
              <w:bottom w:val="nil"/>
              <w:right w:val="nil"/>
            </w:tcBorders>
            <w:shd w:val="clear" w:color="auto" w:fill="FFFFFF"/>
            <w:vAlign w:val="center"/>
          </w:tcPr>
          <w:p w14:paraId="15104E1F"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2.37</w:t>
            </w:r>
          </w:p>
        </w:tc>
        <w:tc>
          <w:tcPr>
            <w:tcW w:w="497" w:type="pct"/>
            <w:tcBorders>
              <w:top w:val="nil"/>
              <w:left w:val="nil"/>
              <w:bottom w:val="nil"/>
              <w:right w:val="nil"/>
            </w:tcBorders>
            <w:shd w:val="clear" w:color="auto" w:fill="FFFFFF"/>
            <w:vAlign w:val="center"/>
          </w:tcPr>
          <w:p w14:paraId="2D91C046"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0.018</w:t>
            </w:r>
          </w:p>
        </w:tc>
      </w:tr>
      <w:tr w:rsidR="00147AD9" w14:paraId="51FC57AB" w14:textId="77777777">
        <w:trPr>
          <w:trHeight w:val="486"/>
        </w:trPr>
        <w:tc>
          <w:tcPr>
            <w:tcW w:w="1210" w:type="pct"/>
            <w:tcBorders>
              <w:top w:val="nil"/>
              <w:left w:val="nil"/>
              <w:bottom w:val="nil"/>
              <w:right w:val="nil"/>
            </w:tcBorders>
            <w:shd w:val="clear" w:color="auto" w:fill="FFFFFF"/>
            <w:noWrap/>
            <w:vAlign w:val="center"/>
          </w:tcPr>
          <w:p w14:paraId="079812B0"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Employee Green Behavior (EGB)</w:t>
            </w:r>
          </w:p>
        </w:tc>
        <w:tc>
          <w:tcPr>
            <w:tcW w:w="430" w:type="pct"/>
            <w:tcBorders>
              <w:top w:val="nil"/>
              <w:left w:val="nil"/>
              <w:bottom w:val="nil"/>
              <w:right w:val="nil"/>
            </w:tcBorders>
            <w:shd w:val="clear" w:color="auto" w:fill="FFFFFF"/>
            <w:noWrap/>
            <w:vAlign w:val="center"/>
          </w:tcPr>
          <w:p w14:paraId="70119CBC"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&lt;---</w:t>
            </w:r>
          </w:p>
        </w:tc>
        <w:tc>
          <w:tcPr>
            <w:tcW w:w="1422" w:type="pct"/>
            <w:tcBorders>
              <w:top w:val="nil"/>
              <w:left w:val="nil"/>
              <w:bottom w:val="nil"/>
              <w:right w:val="nil"/>
            </w:tcBorders>
            <w:shd w:val="clear" w:color="auto" w:fill="FFFFFF"/>
            <w:vAlign w:val="center"/>
          </w:tcPr>
          <w:p w14:paraId="6EB6DE57"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Psychological Contract (PC)</w:t>
            </w:r>
          </w:p>
        </w:tc>
        <w:tc>
          <w:tcPr>
            <w:tcW w:w="522" w:type="pct"/>
            <w:tcBorders>
              <w:top w:val="nil"/>
              <w:left w:val="nil"/>
              <w:bottom w:val="nil"/>
              <w:right w:val="nil"/>
            </w:tcBorders>
            <w:shd w:val="clear" w:color="auto" w:fill="FFFFFF"/>
            <w:vAlign w:val="center"/>
          </w:tcPr>
          <w:p w14:paraId="787CAE28"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0.319</w:t>
            </w:r>
          </w:p>
        </w:tc>
        <w:tc>
          <w:tcPr>
            <w:tcW w:w="446" w:type="pct"/>
            <w:tcBorders>
              <w:top w:val="nil"/>
              <w:left w:val="nil"/>
              <w:bottom w:val="nil"/>
              <w:right w:val="nil"/>
            </w:tcBorders>
            <w:shd w:val="clear" w:color="auto" w:fill="FFFFFF"/>
            <w:vAlign w:val="center"/>
          </w:tcPr>
          <w:p w14:paraId="62322CCA"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0.058</w:t>
            </w:r>
          </w:p>
        </w:tc>
        <w:tc>
          <w:tcPr>
            <w:tcW w:w="470" w:type="pct"/>
            <w:tcBorders>
              <w:top w:val="nil"/>
              <w:left w:val="nil"/>
              <w:bottom w:val="nil"/>
              <w:right w:val="nil"/>
            </w:tcBorders>
            <w:shd w:val="clear" w:color="auto" w:fill="FFFFFF"/>
            <w:vAlign w:val="center"/>
          </w:tcPr>
          <w:p w14:paraId="39ED2FC1"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5.043</w:t>
            </w:r>
          </w:p>
        </w:tc>
        <w:tc>
          <w:tcPr>
            <w:tcW w:w="497" w:type="pct"/>
            <w:tcBorders>
              <w:top w:val="nil"/>
              <w:left w:val="nil"/>
              <w:bottom w:val="nil"/>
              <w:right w:val="nil"/>
            </w:tcBorders>
            <w:shd w:val="clear" w:color="auto" w:fill="FFFFFF"/>
            <w:vAlign w:val="center"/>
          </w:tcPr>
          <w:p w14:paraId="5B4DC7F1"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r>
      <w:tr w:rsidR="00147AD9" w14:paraId="0D87D3E7" w14:textId="77777777">
        <w:trPr>
          <w:trHeight w:val="486"/>
        </w:trPr>
        <w:tc>
          <w:tcPr>
            <w:tcW w:w="1210" w:type="pct"/>
            <w:tcBorders>
              <w:top w:val="nil"/>
              <w:left w:val="nil"/>
              <w:bottom w:val="nil"/>
              <w:right w:val="nil"/>
            </w:tcBorders>
            <w:shd w:val="clear" w:color="auto" w:fill="FFFFFF"/>
            <w:noWrap/>
            <w:vAlign w:val="center"/>
          </w:tcPr>
          <w:p w14:paraId="58BC2345"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CGC4</w:t>
            </w:r>
          </w:p>
        </w:tc>
        <w:tc>
          <w:tcPr>
            <w:tcW w:w="430" w:type="pct"/>
            <w:tcBorders>
              <w:top w:val="nil"/>
              <w:left w:val="nil"/>
              <w:bottom w:val="nil"/>
              <w:right w:val="nil"/>
            </w:tcBorders>
            <w:shd w:val="clear" w:color="auto" w:fill="FFFFFF"/>
            <w:noWrap/>
            <w:vAlign w:val="center"/>
          </w:tcPr>
          <w:p w14:paraId="44A1FA56"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&lt;---</w:t>
            </w:r>
          </w:p>
        </w:tc>
        <w:tc>
          <w:tcPr>
            <w:tcW w:w="1422" w:type="pct"/>
            <w:tcBorders>
              <w:top w:val="nil"/>
              <w:left w:val="nil"/>
              <w:bottom w:val="nil"/>
              <w:right w:val="nil"/>
            </w:tcBorders>
            <w:shd w:val="clear" w:color="auto" w:fill="FFFFFF"/>
            <w:vAlign w:val="center"/>
          </w:tcPr>
          <w:p w14:paraId="150DA124"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Corporate Green Culture (CGC)</w:t>
            </w:r>
          </w:p>
        </w:tc>
        <w:tc>
          <w:tcPr>
            <w:tcW w:w="522" w:type="pct"/>
            <w:tcBorders>
              <w:top w:val="nil"/>
              <w:left w:val="nil"/>
              <w:bottom w:val="nil"/>
              <w:right w:val="nil"/>
            </w:tcBorders>
            <w:shd w:val="clear" w:color="auto" w:fill="FFFFFF"/>
            <w:vAlign w:val="center"/>
          </w:tcPr>
          <w:p w14:paraId="46EBAB22"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0.783</w:t>
            </w:r>
          </w:p>
        </w:tc>
        <w:tc>
          <w:tcPr>
            <w:tcW w:w="446" w:type="pct"/>
            <w:tcBorders>
              <w:top w:val="nil"/>
              <w:left w:val="nil"/>
              <w:bottom w:val="nil"/>
              <w:right w:val="nil"/>
            </w:tcBorders>
            <w:shd w:val="clear" w:color="auto" w:fill="FFFFFF"/>
            <w:vAlign w:val="center"/>
          </w:tcPr>
          <w:p w14:paraId="5A111503" w14:textId="77777777" w:rsidR="00147AD9" w:rsidRDefault="00147AD9">
            <w:pPr>
              <w:jc w:val="center"/>
              <w:rPr>
                <w:rFonts w:ascii="Times New Roman" w:hAnsi="Times New Roman" w:cs="Times New Roman"/>
                <w:color w:val="000000"/>
                <w:sz w:val="22"/>
                <w:szCs w:val="22"/>
              </w:rPr>
            </w:pPr>
          </w:p>
        </w:tc>
        <w:tc>
          <w:tcPr>
            <w:tcW w:w="470" w:type="pct"/>
            <w:tcBorders>
              <w:top w:val="nil"/>
              <w:left w:val="nil"/>
              <w:bottom w:val="nil"/>
              <w:right w:val="nil"/>
            </w:tcBorders>
            <w:shd w:val="clear" w:color="auto" w:fill="FFFFFF"/>
            <w:vAlign w:val="center"/>
          </w:tcPr>
          <w:p w14:paraId="5C5FEFE0" w14:textId="77777777" w:rsidR="00147AD9" w:rsidRDefault="00147AD9">
            <w:pPr>
              <w:jc w:val="center"/>
              <w:rPr>
                <w:rFonts w:ascii="Times New Roman" w:hAnsi="Times New Roman" w:cs="Times New Roman"/>
                <w:color w:val="000000"/>
                <w:sz w:val="22"/>
                <w:szCs w:val="22"/>
              </w:rPr>
            </w:pPr>
          </w:p>
        </w:tc>
        <w:tc>
          <w:tcPr>
            <w:tcW w:w="497" w:type="pct"/>
            <w:tcBorders>
              <w:top w:val="nil"/>
              <w:left w:val="nil"/>
              <w:bottom w:val="nil"/>
              <w:right w:val="nil"/>
            </w:tcBorders>
            <w:shd w:val="clear" w:color="auto" w:fill="FFFFFF"/>
            <w:vAlign w:val="center"/>
          </w:tcPr>
          <w:p w14:paraId="678251C5" w14:textId="77777777" w:rsidR="00147AD9" w:rsidRDefault="00147AD9">
            <w:pPr>
              <w:jc w:val="center"/>
              <w:rPr>
                <w:rFonts w:ascii="Times New Roman" w:hAnsi="Times New Roman" w:cs="Times New Roman"/>
                <w:color w:val="000000"/>
                <w:sz w:val="22"/>
                <w:szCs w:val="22"/>
              </w:rPr>
            </w:pPr>
          </w:p>
        </w:tc>
      </w:tr>
      <w:tr w:rsidR="00147AD9" w14:paraId="315BD59D" w14:textId="77777777">
        <w:trPr>
          <w:trHeight w:val="486"/>
        </w:trPr>
        <w:tc>
          <w:tcPr>
            <w:tcW w:w="1210" w:type="pct"/>
            <w:tcBorders>
              <w:top w:val="nil"/>
              <w:left w:val="nil"/>
              <w:bottom w:val="nil"/>
              <w:right w:val="nil"/>
            </w:tcBorders>
            <w:shd w:val="clear" w:color="auto" w:fill="FFFFFF"/>
            <w:noWrap/>
            <w:vAlign w:val="center"/>
          </w:tcPr>
          <w:p w14:paraId="2ED8F686"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CGC3</w:t>
            </w:r>
          </w:p>
        </w:tc>
        <w:tc>
          <w:tcPr>
            <w:tcW w:w="430" w:type="pct"/>
            <w:tcBorders>
              <w:top w:val="nil"/>
              <w:left w:val="nil"/>
              <w:bottom w:val="nil"/>
              <w:right w:val="nil"/>
            </w:tcBorders>
            <w:shd w:val="clear" w:color="auto" w:fill="FFFFFF"/>
            <w:noWrap/>
            <w:vAlign w:val="center"/>
          </w:tcPr>
          <w:p w14:paraId="54762F98"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&lt;---</w:t>
            </w:r>
          </w:p>
        </w:tc>
        <w:tc>
          <w:tcPr>
            <w:tcW w:w="1422" w:type="pct"/>
            <w:tcBorders>
              <w:top w:val="nil"/>
              <w:left w:val="nil"/>
              <w:bottom w:val="nil"/>
              <w:right w:val="nil"/>
            </w:tcBorders>
            <w:shd w:val="clear" w:color="auto" w:fill="FFFFFF"/>
            <w:vAlign w:val="center"/>
          </w:tcPr>
          <w:p w14:paraId="550CCDE8"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Corporate Green Culture (CGC)</w:t>
            </w:r>
          </w:p>
        </w:tc>
        <w:tc>
          <w:tcPr>
            <w:tcW w:w="522" w:type="pct"/>
            <w:tcBorders>
              <w:top w:val="nil"/>
              <w:left w:val="nil"/>
              <w:bottom w:val="nil"/>
              <w:right w:val="nil"/>
            </w:tcBorders>
            <w:shd w:val="clear" w:color="auto" w:fill="FFFFFF"/>
            <w:vAlign w:val="center"/>
          </w:tcPr>
          <w:p w14:paraId="67442880"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0.778</w:t>
            </w:r>
          </w:p>
        </w:tc>
        <w:tc>
          <w:tcPr>
            <w:tcW w:w="446" w:type="pct"/>
            <w:tcBorders>
              <w:top w:val="nil"/>
              <w:left w:val="nil"/>
              <w:bottom w:val="nil"/>
              <w:right w:val="nil"/>
            </w:tcBorders>
            <w:shd w:val="clear" w:color="auto" w:fill="FFFFFF"/>
            <w:vAlign w:val="center"/>
          </w:tcPr>
          <w:p w14:paraId="3CD2B3EE"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0.069</w:t>
            </w:r>
          </w:p>
        </w:tc>
        <w:tc>
          <w:tcPr>
            <w:tcW w:w="470" w:type="pct"/>
            <w:tcBorders>
              <w:top w:val="nil"/>
              <w:left w:val="nil"/>
              <w:bottom w:val="nil"/>
              <w:right w:val="nil"/>
            </w:tcBorders>
            <w:shd w:val="clear" w:color="auto" w:fill="FFFFFF"/>
            <w:vAlign w:val="center"/>
          </w:tcPr>
          <w:p w14:paraId="7A4D8DD8"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14.643</w:t>
            </w:r>
          </w:p>
        </w:tc>
        <w:tc>
          <w:tcPr>
            <w:tcW w:w="497" w:type="pct"/>
            <w:tcBorders>
              <w:top w:val="nil"/>
              <w:left w:val="nil"/>
              <w:bottom w:val="nil"/>
              <w:right w:val="nil"/>
            </w:tcBorders>
            <w:shd w:val="clear" w:color="auto" w:fill="FFFFFF"/>
            <w:vAlign w:val="center"/>
          </w:tcPr>
          <w:p w14:paraId="0C479640"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r>
      <w:tr w:rsidR="00147AD9" w14:paraId="173556A1" w14:textId="77777777">
        <w:trPr>
          <w:trHeight w:val="486"/>
        </w:trPr>
        <w:tc>
          <w:tcPr>
            <w:tcW w:w="1210" w:type="pct"/>
            <w:tcBorders>
              <w:top w:val="nil"/>
              <w:left w:val="nil"/>
              <w:bottom w:val="nil"/>
              <w:right w:val="nil"/>
            </w:tcBorders>
            <w:shd w:val="clear" w:color="auto" w:fill="FFFFFF"/>
            <w:noWrap/>
            <w:vAlign w:val="center"/>
          </w:tcPr>
          <w:p w14:paraId="2B1EC300"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CGC2</w:t>
            </w:r>
          </w:p>
        </w:tc>
        <w:tc>
          <w:tcPr>
            <w:tcW w:w="430" w:type="pct"/>
            <w:tcBorders>
              <w:top w:val="nil"/>
              <w:left w:val="nil"/>
              <w:bottom w:val="nil"/>
              <w:right w:val="nil"/>
            </w:tcBorders>
            <w:shd w:val="clear" w:color="auto" w:fill="FFFFFF"/>
            <w:noWrap/>
            <w:vAlign w:val="center"/>
          </w:tcPr>
          <w:p w14:paraId="562B9E1B"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&lt;---</w:t>
            </w:r>
          </w:p>
        </w:tc>
        <w:tc>
          <w:tcPr>
            <w:tcW w:w="1422" w:type="pct"/>
            <w:tcBorders>
              <w:top w:val="nil"/>
              <w:left w:val="nil"/>
              <w:bottom w:val="nil"/>
              <w:right w:val="nil"/>
            </w:tcBorders>
            <w:shd w:val="clear" w:color="auto" w:fill="FFFFFF"/>
            <w:vAlign w:val="center"/>
          </w:tcPr>
          <w:p w14:paraId="625D5A1B"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Corporate Green Culture (CGC)</w:t>
            </w:r>
          </w:p>
        </w:tc>
        <w:tc>
          <w:tcPr>
            <w:tcW w:w="522" w:type="pct"/>
            <w:tcBorders>
              <w:top w:val="nil"/>
              <w:left w:val="nil"/>
              <w:bottom w:val="nil"/>
              <w:right w:val="nil"/>
            </w:tcBorders>
            <w:shd w:val="clear" w:color="auto" w:fill="FFFFFF"/>
            <w:vAlign w:val="center"/>
          </w:tcPr>
          <w:p w14:paraId="3256B805"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0.765</w:t>
            </w:r>
          </w:p>
        </w:tc>
        <w:tc>
          <w:tcPr>
            <w:tcW w:w="446" w:type="pct"/>
            <w:tcBorders>
              <w:top w:val="nil"/>
              <w:left w:val="nil"/>
              <w:bottom w:val="nil"/>
              <w:right w:val="nil"/>
            </w:tcBorders>
            <w:shd w:val="clear" w:color="auto" w:fill="FFFFFF"/>
            <w:vAlign w:val="center"/>
          </w:tcPr>
          <w:p w14:paraId="43DE551C"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0.067</w:t>
            </w:r>
          </w:p>
        </w:tc>
        <w:tc>
          <w:tcPr>
            <w:tcW w:w="470" w:type="pct"/>
            <w:tcBorders>
              <w:top w:val="nil"/>
              <w:left w:val="nil"/>
              <w:bottom w:val="nil"/>
              <w:right w:val="nil"/>
            </w:tcBorders>
            <w:shd w:val="clear" w:color="auto" w:fill="FFFFFF"/>
            <w:vAlign w:val="center"/>
          </w:tcPr>
          <w:p w14:paraId="4373DCFA"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14.377</w:t>
            </w:r>
          </w:p>
        </w:tc>
        <w:tc>
          <w:tcPr>
            <w:tcW w:w="497" w:type="pct"/>
            <w:tcBorders>
              <w:top w:val="nil"/>
              <w:left w:val="nil"/>
              <w:bottom w:val="nil"/>
              <w:right w:val="nil"/>
            </w:tcBorders>
            <w:shd w:val="clear" w:color="auto" w:fill="FFFFFF"/>
            <w:vAlign w:val="center"/>
          </w:tcPr>
          <w:p w14:paraId="4EF13970"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r>
      <w:tr w:rsidR="00147AD9" w14:paraId="736B35A8" w14:textId="77777777">
        <w:trPr>
          <w:trHeight w:val="486"/>
        </w:trPr>
        <w:tc>
          <w:tcPr>
            <w:tcW w:w="1210" w:type="pct"/>
            <w:tcBorders>
              <w:top w:val="nil"/>
              <w:left w:val="nil"/>
              <w:bottom w:val="nil"/>
              <w:right w:val="nil"/>
            </w:tcBorders>
            <w:shd w:val="clear" w:color="auto" w:fill="FFFFFF"/>
            <w:noWrap/>
            <w:vAlign w:val="center"/>
          </w:tcPr>
          <w:p w14:paraId="74492944"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CGC1</w:t>
            </w:r>
          </w:p>
        </w:tc>
        <w:tc>
          <w:tcPr>
            <w:tcW w:w="430" w:type="pct"/>
            <w:tcBorders>
              <w:top w:val="nil"/>
              <w:left w:val="nil"/>
              <w:bottom w:val="nil"/>
              <w:right w:val="nil"/>
            </w:tcBorders>
            <w:shd w:val="clear" w:color="auto" w:fill="FFFFFF"/>
            <w:noWrap/>
            <w:vAlign w:val="center"/>
          </w:tcPr>
          <w:p w14:paraId="35C0FA2F"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&lt;---</w:t>
            </w:r>
          </w:p>
        </w:tc>
        <w:tc>
          <w:tcPr>
            <w:tcW w:w="1422" w:type="pct"/>
            <w:tcBorders>
              <w:top w:val="nil"/>
              <w:left w:val="nil"/>
              <w:bottom w:val="nil"/>
              <w:right w:val="nil"/>
            </w:tcBorders>
            <w:shd w:val="clear" w:color="auto" w:fill="FFFFFF"/>
            <w:vAlign w:val="center"/>
          </w:tcPr>
          <w:p w14:paraId="474AA6E1"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Corporate Green Culture (CGC)</w:t>
            </w:r>
          </w:p>
        </w:tc>
        <w:tc>
          <w:tcPr>
            <w:tcW w:w="522" w:type="pct"/>
            <w:tcBorders>
              <w:top w:val="nil"/>
              <w:left w:val="nil"/>
              <w:bottom w:val="nil"/>
              <w:right w:val="nil"/>
            </w:tcBorders>
            <w:shd w:val="clear" w:color="auto" w:fill="FFFFFF"/>
            <w:vAlign w:val="center"/>
          </w:tcPr>
          <w:p w14:paraId="15F0DC5C"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0.786</w:t>
            </w:r>
          </w:p>
        </w:tc>
        <w:tc>
          <w:tcPr>
            <w:tcW w:w="446" w:type="pct"/>
            <w:tcBorders>
              <w:top w:val="nil"/>
              <w:left w:val="nil"/>
              <w:bottom w:val="nil"/>
              <w:right w:val="nil"/>
            </w:tcBorders>
            <w:shd w:val="clear" w:color="auto" w:fill="FFFFFF"/>
            <w:vAlign w:val="center"/>
          </w:tcPr>
          <w:p w14:paraId="544267FF"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0.065</w:t>
            </w:r>
          </w:p>
        </w:tc>
        <w:tc>
          <w:tcPr>
            <w:tcW w:w="470" w:type="pct"/>
            <w:tcBorders>
              <w:top w:val="nil"/>
              <w:left w:val="nil"/>
              <w:bottom w:val="nil"/>
              <w:right w:val="nil"/>
            </w:tcBorders>
            <w:shd w:val="clear" w:color="auto" w:fill="FFFFFF"/>
            <w:vAlign w:val="center"/>
          </w:tcPr>
          <w:p w14:paraId="129C92C8"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14.808</w:t>
            </w:r>
          </w:p>
        </w:tc>
        <w:tc>
          <w:tcPr>
            <w:tcW w:w="497" w:type="pct"/>
            <w:tcBorders>
              <w:top w:val="nil"/>
              <w:left w:val="nil"/>
              <w:bottom w:val="nil"/>
              <w:right w:val="nil"/>
            </w:tcBorders>
            <w:shd w:val="clear" w:color="auto" w:fill="FFFFFF"/>
            <w:vAlign w:val="center"/>
          </w:tcPr>
          <w:p w14:paraId="1BB7C0C6"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r>
      <w:tr w:rsidR="00147AD9" w14:paraId="54808D25" w14:textId="77777777">
        <w:trPr>
          <w:trHeight w:val="486"/>
        </w:trPr>
        <w:tc>
          <w:tcPr>
            <w:tcW w:w="1210" w:type="pct"/>
            <w:tcBorders>
              <w:top w:val="nil"/>
              <w:left w:val="nil"/>
              <w:bottom w:val="nil"/>
              <w:right w:val="nil"/>
            </w:tcBorders>
            <w:shd w:val="clear" w:color="auto" w:fill="FFFFFF"/>
            <w:noWrap/>
            <w:vAlign w:val="center"/>
          </w:tcPr>
          <w:p w14:paraId="72F6640A"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PC4</w:t>
            </w:r>
          </w:p>
        </w:tc>
        <w:tc>
          <w:tcPr>
            <w:tcW w:w="430" w:type="pct"/>
            <w:tcBorders>
              <w:top w:val="nil"/>
              <w:left w:val="nil"/>
              <w:bottom w:val="nil"/>
              <w:right w:val="nil"/>
            </w:tcBorders>
            <w:shd w:val="clear" w:color="auto" w:fill="FFFFFF"/>
            <w:noWrap/>
            <w:vAlign w:val="center"/>
          </w:tcPr>
          <w:p w14:paraId="7168D721"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&lt;---</w:t>
            </w:r>
          </w:p>
        </w:tc>
        <w:tc>
          <w:tcPr>
            <w:tcW w:w="1422" w:type="pct"/>
            <w:tcBorders>
              <w:top w:val="nil"/>
              <w:left w:val="nil"/>
              <w:bottom w:val="nil"/>
              <w:right w:val="nil"/>
            </w:tcBorders>
            <w:shd w:val="clear" w:color="auto" w:fill="FFFFFF"/>
            <w:vAlign w:val="center"/>
          </w:tcPr>
          <w:p w14:paraId="5E1204CC"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Psychological Contract (PC)</w:t>
            </w:r>
          </w:p>
        </w:tc>
        <w:tc>
          <w:tcPr>
            <w:tcW w:w="522" w:type="pct"/>
            <w:tcBorders>
              <w:top w:val="nil"/>
              <w:left w:val="nil"/>
              <w:bottom w:val="nil"/>
              <w:right w:val="nil"/>
            </w:tcBorders>
            <w:shd w:val="clear" w:color="auto" w:fill="FFFFFF"/>
            <w:vAlign w:val="center"/>
          </w:tcPr>
          <w:p w14:paraId="744EF107"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0.818</w:t>
            </w:r>
          </w:p>
        </w:tc>
        <w:tc>
          <w:tcPr>
            <w:tcW w:w="446" w:type="pct"/>
            <w:tcBorders>
              <w:top w:val="nil"/>
              <w:left w:val="nil"/>
              <w:bottom w:val="nil"/>
              <w:right w:val="nil"/>
            </w:tcBorders>
            <w:shd w:val="clear" w:color="auto" w:fill="FFFFFF"/>
            <w:vAlign w:val="center"/>
          </w:tcPr>
          <w:p w14:paraId="1381A177" w14:textId="77777777" w:rsidR="00147AD9" w:rsidRDefault="00147AD9">
            <w:pPr>
              <w:jc w:val="center"/>
              <w:rPr>
                <w:rFonts w:ascii="Times New Roman" w:hAnsi="Times New Roman" w:cs="Times New Roman"/>
                <w:color w:val="000000"/>
                <w:sz w:val="22"/>
                <w:szCs w:val="22"/>
              </w:rPr>
            </w:pPr>
          </w:p>
        </w:tc>
        <w:tc>
          <w:tcPr>
            <w:tcW w:w="470" w:type="pct"/>
            <w:tcBorders>
              <w:top w:val="nil"/>
              <w:left w:val="nil"/>
              <w:bottom w:val="nil"/>
              <w:right w:val="nil"/>
            </w:tcBorders>
            <w:shd w:val="clear" w:color="auto" w:fill="FFFFFF"/>
            <w:vAlign w:val="center"/>
          </w:tcPr>
          <w:p w14:paraId="6F1C18E3" w14:textId="77777777" w:rsidR="00147AD9" w:rsidRDefault="00147AD9">
            <w:pPr>
              <w:jc w:val="center"/>
              <w:rPr>
                <w:rFonts w:ascii="Times New Roman" w:hAnsi="Times New Roman" w:cs="Times New Roman"/>
                <w:color w:val="000000"/>
                <w:sz w:val="22"/>
                <w:szCs w:val="22"/>
              </w:rPr>
            </w:pPr>
          </w:p>
        </w:tc>
        <w:tc>
          <w:tcPr>
            <w:tcW w:w="497" w:type="pct"/>
            <w:tcBorders>
              <w:top w:val="nil"/>
              <w:left w:val="nil"/>
              <w:bottom w:val="nil"/>
              <w:right w:val="nil"/>
            </w:tcBorders>
            <w:shd w:val="clear" w:color="auto" w:fill="FFFFFF"/>
            <w:vAlign w:val="center"/>
          </w:tcPr>
          <w:p w14:paraId="23F3A152" w14:textId="77777777" w:rsidR="00147AD9" w:rsidRDefault="00147AD9">
            <w:pPr>
              <w:jc w:val="center"/>
              <w:rPr>
                <w:rFonts w:ascii="Times New Roman" w:hAnsi="Times New Roman" w:cs="Times New Roman"/>
                <w:color w:val="000000"/>
                <w:sz w:val="22"/>
                <w:szCs w:val="22"/>
              </w:rPr>
            </w:pPr>
          </w:p>
        </w:tc>
      </w:tr>
      <w:tr w:rsidR="00147AD9" w14:paraId="33173E3E" w14:textId="77777777">
        <w:trPr>
          <w:trHeight w:val="486"/>
        </w:trPr>
        <w:tc>
          <w:tcPr>
            <w:tcW w:w="1210" w:type="pct"/>
            <w:tcBorders>
              <w:top w:val="nil"/>
              <w:left w:val="nil"/>
              <w:bottom w:val="nil"/>
              <w:right w:val="nil"/>
            </w:tcBorders>
            <w:shd w:val="clear" w:color="auto" w:fill="FFFFFF"/>
            <w:noWrap/>
            <w:vAlign w:val="center"/>
          </w:tcPr>
          <w:p w14:paraId="62B3B3C8"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PC3</w:t>
            </w:r>
          </w:p>
        </w:tc>
        <w:tc>
          <w:tcPr>
            <w:tcW w:w="430" w:type="pct"/>
            <w:tcBorders>
              <w:top w:val="nil"/>
              <w:left w:val="nil"/>
              <w:bottom w:val="nil"/>
              <w:right w:val="nil"/>
            </w:tcBorders>
            <w:shd w:val="clear" w:color="auto" w:fill="FFFFFF"/>
            <w:noWrap/>
            <w:vAlign w:val="center"/>
          </w:tcPr>
          <w:p w14:paraId="2304FCB7"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&lt;---</w:t>
            </w:r>
          </w:p>
        </w:tc>
        <w:tc>
          <w:tcPr>
            <w:tcW w:w="1422" w:type="pct"/>
            <w:tcBorders>
              <w:top w:val="nil"/>
              <w:left w:val="nil"/>
              <w:bottom w:val="nil"/>
              <w:right w:val="nil"/>
            </w:tcBorders>
            <w:shd w:val="clear" w:color="auto" w:fill="FFFFFF"/>
            <w:vAlign w:val="center"/>
          </w:tcPr>
          <w:p w14:paraId="115FB207"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Psychological Contract (PC)</w:t>
            </w:r>
          </w:p>
        </w:tc>
        <w:tc>
          <w:tcPr>
            <w:tcW w:w="522" w:type="pct"/>
            <w:tcBorders>
              <w:top w:val="nil"/>
              <w:left w:val="nil"/>
              <w:bottom w:val="nil"/>
              <w:right w:val="nil"/>
            </w:tcBorders>
            <w:shd w:val="clear" w:color="auto" w:fill="FFFFFF"/>
            <w:vAlign w:val="center"/>
          </w:tcPr>
          <w:p w14:paraId="1F3D7D34"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0.8</w:t>
            </w:r>
          </w:p>
        </w:tc>
        <w:tc>
          <w:tcPr>
            <w:tcW w:w="446" w:type="pct"/>
            <w:tcBorders>
              <w:top w:val="nil"/>
              <w:left w:val="nil"/>
              <w:bottom w:val="nil"/>
              <w:right w:val="nil"/>
            </w:tcBorders>
            <w:shd w:val="clear" w:color="auto" w:fill="FFFFFF"/>
            <w:vAlign w:val="center"/>
          </w:tcPr>
          <w:p w14:paraId="14F8F262"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0.062</w:t>
            </w:r>
          </w:p>
        </w:tc>
        <w:tc>
          <w:tcPr>
            <w:tcW w:w="470" w:type="pct"/>
            <w:tcBorders>
              <w:top w:val="nil"/>
              <w:left w:val="nil"/>
              <w:bottom w:val="nil"/>
              <w:right w:val="nil"/>
            </w:tcBorders>
            <w:shd w:val="clear" w:color="auto" w:fill="FFFFFF"/>
            <w:vAlign w:val="center"/>
          </w:tcPr>
          <w:p w14:paraId="2D775FD0"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16.031</w:t>
            </w:r>
          </w:p>
        </w:tc>
        <w:tc>
          <w:tcPr>
            <w:tcW w:w="497" w:type="pct"/>
            <w:tcBorders>
              <w:top w:val="nil"/>
              <w:left w:val="nil"/>
              <w:bottom w:val="nil"/>
              <w:right w:val="nil"/>
            </w:tcBorders>
            <w:shd w:val="clear" w:color="auto" w:fill="FFFFFF"/>
            <w:vAlign w:val="center"/>
          </w:tcPr>
          <w:p w14:paraId="57A3699B"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r>
      <w:tr w:rsidR="00147AD9" w14:paraId="18C3AF73" w14:textId="77777777">
        <w:trPr>
          <w:trHeight w:val="486"/>
        </w:trPr>
        <w:tc>
          <w:tcPr>
            <w:tcW w:w="1210" w:type="pct"/>
            <w:tcBorders>
              <w:top w:val="nil"/>
              <w:left w:val="nil"/>
              <w:bottom w:val="nil"/>
              <w:right w:val="nil"/>
            </w:tcBorders>
            <w:shd w:val="clear" w:color="auto" w:fill="FFFFFF"/>
            <w:noWrap/>
            <w:vAlign w:val="center"/>
          </w:tcPr>
          <w:p w14:paraId="1DBBAFAF"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PC2</w:t>
            </w:r>
          </w:p>
        </w:tc>
        <w:tc>
          <w:tcPr>
            <w:tcW w:w="430" w:type="pct"/>
            <w:tcBorders>
              <w:top w:val="nil"/>
              <w:left w:val="nil"/>
              <w:bottom w:val="nil"/>
              <w:right w:val="nil"/>
            </w:tcBorders>
            <w:shd w:val="clear" w:color="auto" w:fill="FFFFFF"/>
            <w:noWrap/>
            <w:vAlign w:val="center"/>
          </w:tcPr>
          <w:p w14:paraId="444F9A46"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&lt;---</w:t>
            </w:r>
          </w:p>
        </w:tc>
        <w:tc>
          <w:tcPr>
            <w:tcW w:w="1422" w:type="pct"/>
            <w:tcBorders>
              <w:top w:val="nil"/>
              <w:left w:val="nil"/>
              <w:bottom w:val="nil"/>
              <w:right w:val="nil"/>
            </w:tcBorders>
            <w:shd w:val="clear" w:color="auto" w:fill="FFFFFF"/>
            <w:vAlign w:val="center"/>
          </w:tcPr>
          <w:p w14:paraId="3CDE5722"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Psychological Contract (PC)</w:t>
            </w:r>
          </w:p>
        </w:tc>
        <w:tc>
          <w:tcPr>
            <w:tcW w:w="522" w:type="pct"/>
            <w:tcBorders>
              <w:top w:val="nil"/>
              <w:left w:val="nil"/>
              <w:bottom w:val="nil"/>
              <w:right w:val="nil"/>
            </w:tcBorders>
            <w:shd w:val="clear" w:color="auto" w:fill="FFFFFF"/>
            <w:vAlign w:val="center"/>
          </w:tcPr>
          <w:p w14:paraId="38C175D0"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0.788</w:t>
            </w:r>
          </w:p>
        </w:tc>
        <w:tc>
          <w:tcPr>
            <w:tcW w:w="446" w:type="pct"/>
            <w:tcBorders>
              <w:top w:val="nil"/>
              <w:left w:val="nil"/>
              <w:bottom w:val="nil"/>
              <w:right w:val="nil"/>
            </w:tcBorders>
            <w:shd w:val="clear" w:color="auto" w:fill="FFFFFF"/>
            <w:vAlign w:val="center"/>
          </w:tcPr>
          <w:p w14:paraId="70D18AD2"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0.059</w:t>
            </w:r>
          </w:p>
        </w:tc>
        <w:tc>
          <w:tcPr>
            <w:tcW w:w="470" w:type="pct"/>
            <w:tcBorders>
              <w:top w:val="nil"/>
              <w:left w:val="nil"/>
              <w:bottom w:val="nil"/>
              <w:right w:val="nil"/>
            </w:tcBorders>
            <w:shd w:val="clear" w:color="auto" w:fill="FFFFFF"/>
            <w:vAlign w:val="center"/>
          </w:tcPr>
          <w:p w14:paraId="31C78776"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15.743</w:t>
            </w:r>
          </w:p>
        </w:tc>
        <w:tc>
          <w:tcPr>
            <w:tcW w:w="497" w:type="pct"/>
            <w:tcBorders>
              <w:top w:val="nil"/>
              <w:left w:val="nil"/>
              <w:bottom w:val="nil"/>
              <w:right w:val="nil"/>
            </w:tcBorders>
            <w:shd w:val="clear" w:color="auto" w:fill="FFFFFF"/>
            <w:vAlign w:val="center"/>
          </w:tcPr>
          <w:p w14:paraId="4EA4865E"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r>
      <w:tr w:rsidR="00147AD9" w14:paraId="4AE67F2C" w14:textId="77777777">
        <w:trPr>
          <w:trHeight w:val="486"/>
        </w:trPr>
        <w:tc>
          <w:tcPr>
            <w:tcW w:w="1210" w:type="pct"/>
            <w:tcBorders>
              <w:top w:val="nil"/>
              <w:left w:val="nil"/>
              <w:bottom w:val="nil"/>
              <w:right w:val="nil"/>
            </w:tcBorders>
            <w:shd w:val="clear" w:color="auto" w:fill="FFFFFF"/>
            <w:noWrap/>
            <w:vAlign w:val="center"/>
          </w:tcPr>
          <w:p w14:paraId="262E8673"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PC1</w:t>
            </w:r>
          </w:p>
        </w:tc>
        <w:tc>
          <w:tcPr>
            <w:tcW w:w="430" w:type="pct"/>
            <w:tcBorders>
              <w:top w:val="nil"/>
              <w:left w:val="nil"/>
              <w:bottom w:val="nil"/>
              <w:right w:val="nil"/>
            </w:tcBorders>
            <w:shd w:val="clear" w:color="auto" w:fill="FFFFFF"/>
            <w:noWrap/>
            <w:vAlign w:val="center"/>
          </w:tcPr>
          <w:p w14:paraId="61E8C20B"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&lt;---</w:t>
            </w:r>
          </w:p>
        </w:tc>
        <w:tc>
          <w:tcPr>
            <w:tcW w:w="1422" w:type="pct"/>
            <w:tcBorders>
              <w:top w:val="nil"/>
              <w:left w:val="nil"/>
              <w:bottom w:val="nil"/>
              <w:right w:val="nil"/>
            </w:tcBorders>
            <w:shd w:val="clear" w:color="auto" w:fill="FFFFFF"/>
            <w:vAlign w:val="center"/>
          </w:tcPr>
          <w:p w14:paraId="3968F8C9"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Psychological Contract (PC)</w:t>
            </w:r>
          </w:p>
        </w:tc>
        <w:tc>
          <w:tcPr>
            <w:tcW w:w="522" w:type="pct"/>
            <w:tcBorders>
              <w:top w:val="nil"/>
              <w:left w:val="nil"/>
              <w:bottom w:val="nil"/>
              <w:right w:val="nil"/>
            </w:tcBorders>
            <w:shd w:val="clear" w:color="auto" w:fill="FFFFFF"/>
            <w:vAlign w:val="center"/>
          </w:tcPr>
          <w:p w14:paraId="0B1D1A3A"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0.761</w:t>
            </w:r>
          </w:p>
        </w:tc>
        <w:tc>
          <w:tcPr>
            <w:tcW w:w="446" w:type="pct"/>
            <w:tcBorders>
              <w:top w:val="nil"/>
              <w:left w:val="nil"/>
              <w:bottom w:val="nil"/>
              <w:right w:val="nil"/>
            </w:tcBorders>
            <w:shd w:val="clear" w:color="auto" w:fill="FFFFFF"/>
            <w:vAlign w:val="center"/>
          </w:tcPr>
          <w:p w14:paraId="7683E96D"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0.06</w:t>
            </w:r>
          </w:p>
        </w:tc>
        <w:tc>
          <w:tcPr>
            <w:tcW w:w="470" w:type="pct"/>
            <w:tcBorders>
              <w:top w:val="nil"/>
              <w:left w:val="nil"/>
              <w:bottom w:val="nil"/>
              <w:right w:val="nil"/>
            </w:tcBorders>
            <w:shd w:val="clear" w:color="auto" w:fill="FFFFFF"/>
            <w:vAlign w:val="center"/>
          </w:tcPr>
          <w:p w14:paraId="3D9EE9F1"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15.098</w:t>
            </w:r>
          </w:p>
        </w:tc>
        <w:tc>
          <w:tcPr>
            <w:tcW w:w="497" w:type="pct"/>
            <w:tcBorders>
              <w:top w:val="nil"/>
              <w:left w:val="nil"/>
              <w:bottom w:val="nil"/>
              <w:right w:val="nil"/>
            </w:tcBorders>
            <w:shd w:val="clear" w:color="auto" w:fill="FFFFFF"/>
            <w:vAlign w:val="center"/>
          </w:tcPr>
          <w:p w14:paraId="14819965"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r>
      <w:tr w:rsidR="00147AD9" w14:paraId="53371E7D" w14:textId="77777777">
        <w:trPr>
          <w:trHeight w:val="263"/>
        </w:trPr>
        <w:tc>
          <w:tcPr>
            <w:tcW w:w="1210" w:type="pct"/>
            <w:tcBorders>
              <w:top w:val="nil"/>
              <w:left w:val="nil"/>
              <w:bottom w:val="nil"/>
              <w:right w:val="nil"/>
            </w:tcBorders>
            <w:shd w:val="clear" w:color="auto" w:fill="FFFFFF"/>
            <w:noWrap/>
            <w:vAlign w:val="center"/>
          </w:tcPr>
          <w:p w14:paraId="07A99FC4"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GL1</w:t>
            </w:r>
          </w:p>
        </w:tc>
        <w:tc>
          <w:tcPr>
            <w:tcW w:w="430" w:type="pct"/>
            <w:tcBorders>
              <w:top w:val="nil"/>
              <w:left w:val="nil"/>
              <w:bottom w:val="nil"/>
              <w:right w:val="nil"/>
            </w:tcBorders>
            <w:shd w:val="clear" w:color="auto" w:fill="FFFFFF"/>
            <w:noWrap/>
            <w:vAlign w:val="center"/>
          </w:tcPr>
          <w:p w14:paraId="1162E172"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&lt;---</w:t>
            </w:r>
          </w:p>
        </w:tc>
        <w:tc>
          <w:tcPr>
            <w:tcW w:w="1422" w:type="pct"/>
            <w:tcBorders>
              <w:top w:val="nil"/>
              <w:left w:val="nil"/>
              <w:bottom w:val="nil"/>
              <w:right w:val="nil"/>
            </w:tcBorders>
            <w:shd w:val="clear" w:color="auto" w:fill="FFFFFF"/>
            <w:vAlign w:val="center"/>
          </w:tcPr>
          <w:p w14:paraId="196F9195"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Green Leadership (GL)</w:t>
            </w:r>
          </w:p>
        </w:tc>
        <w:tc>
          <w:tcPr>
            <w:tcW w:w="522" w:type="pct"/>
            <w:tcBorders>
              <w:top w:val="nil"/>
              <w:left w:val="nil"/>
              <w:bottom w:val="nil"/>
              <w:right w:val="nil"/>
            </w:tcBorders>
            <w:shd w:val="clear" w:color="auto" w:fill="FFFFFF"/>
            <w:vAlign w:val="center"/>
          </w:tcPr>
          <w:p w14:paraId="6830B953"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0.784</w:t>
            </w:r>
          </w:p>
        </w:tc>
        <w:tc>
          <w:tcPr>
            <w:tcW w:w="446" w:type="pct"/>
            <w:tcBorders>
              <w:top w:val="nil"/>
              <w:left w:val="nil"/>
              <w:bottom w:val="nil"/>
              <w:right w:val="nil"/>
            </w:tcBorders>
            <w:shd w:val="clear" w:color="auto" w:fill="FFFFFF"/>
            <w:vAlign w:val="center"/>
          </w:tcPr>
          <w:p w14:paraId="304287D6" w14:textId="77777777" w:rsidR="00147AD9" w:rsidRDefault="00147AD9">
            <w:pPr>
              <w:jc w:val="center"/>
              <w:rPr>
                <w:rFonts w:ascii="Times New Roman" w:hAnsi="Times New Roman" w:cs="Times New Roman"/>
                <w:color w:val="000000"/>
                <w:sz w:val="22"/>
                <w:szCs w:val="22"/>
              </w:rPr>
            </w:pPr>
          </w:p>
        </w:tc>
        <w:tc>
          <w:tcPr>
            <w:tcW w:w="470" w:type="pct"/>
            <w:tcBorders>
              <w:top w:val="nil"/>
              <w:left w:val="nil"/>
              <w:bottom w:val="nil"/>
              <w:right w:val="nil"/>
            </w:tcBorders>
            <w:shd w:val="clear" w:color="auto" w:fill="FFFFFF"/>
            <w:vAlign w:val="center"/>
          </w:tcPr>
          <w:p w14:paraId="0361D8B0" w14:textId="77777777" w:rsidR="00147AD9" w:rsidRDefault="00147AD9">
            <w:pPr>
              <w:jc w:val="center"/>
              <w:rPr>
                <w:rFonts w:ascii="Times New Roman" w:hAnsi="Times New Roman" w:cs="Times New Roman"/>
                <w:color w:val="000000"/>
                <w:sz w:val="22"/>
                <w:szCs w:val="22"/>
              </w:rPr>
            </w:pPr>
          </w:p>
        </w:tc>
        <w:tc>
          <w:tcPr>
            <w:tcW w:w="497" w:type="pct"/>
            <w:tcBorders>
              <w:top w:val="nil"/>
              <w:left w:val="nil"/>
              <w:bottom w:val="nil"/>
              <w:right w:val="nil"/>
            </w:tcBorders>
            <w:shd w:val="clear" w:color="auto" w:fill="FFFFFF"/>
            <w:vAlign w:val="center"/>
          </w:tcPr>
          <w:p w14:paraId="5BC29767" w14:textId="77777777" w:rsidR="00147AD9" w:rsidRDefault="00147AD9">
            <w:pPr>
              <w:jc w:val="center"/>
              <w:rPr>
                <w:rFonts w:ascii="Times New Roman" w:hAnsi="Times New Roman" w:cs="Times New Roman"/>
                <w:color w:val="000000"/>
                <w:sz w:val="22"/>
                <w:szCs w:val="22"/>
              </w:rPr>
            </w:pPr>
          </w:p>
        </w:tc>
      </w:tr>
      <w:tr w:rsidR="00147AD9" w14:paraId="0F512381" w14:textId="77777777">
        <w:trPr>
          <w:trHeight w:val="486"/>
        </w:trPr>
        <w:tc>
          <w:tcPr>
            <w:tcW w:w="1210" w:type="pct"/>
            <w:tcBorders>
              <w:top w:val="nil"/>
              <w:left w:val="nil"/>
              <w:bottom w:val="nil"/>
              <w:right w:val="nil"/>
            </w:tcBorders>
            <w:shd w:val="clear" w:color="auto" w:fill="FFFFFF"/>
            <w:noWrap/>
            <w:vAlign w:val="center"/>
          </w:tcPr>
          <w:p w14:paraId="0499739C"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GL2</w:t>
            </w:r>
          </w:p>
        </w:tc>
        <w:tc>
          <w:tcPr>
            <w:tcW w:w="430" w:type="pct"/>
            <w:tcBorders>
              <w:top w:val="nil"/>
              <w:left w:val="nil"/>
              <w:bottom w:val="nil"/>
              <w:right w:val="nil"/>
            </w:tcBorders>
            <w:shd w:val="clear" w:color="auto" w:fill="FFFFFF"/>
            <w:noWrap/>
            <w:vAlign w:val="center"/>
          </w:tcPr>
          <w:p w14:paraId="0DF4E51E"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&lt;---</w:t>
            </w:r>
          </w:p>
        </w:tc>
        <w:tc>
          <w:tcPr>
            <w:tcW w:w="1422" w:type="pct"/>
            <w:tcBorders>
              <w:top w:val="nil"/>
              <w:left w:val="nil"/>
              <w:bottom w:val="nil"/>
              <w:right w:val="nil"/>
            </w:tcBorders>
            <w:shd w:val="clear" w:color="auto" w:fill="FFFFFF"/>
            <w:vAlign w:val="center"/>
          </w:tcPr>
          <w:p w14:paraId="07066148"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Green Leadership (GL)</w:t>
            </w:r>
          </w:p>
        </w:tc>
        <w:tc>
          <w:tcPr>
            <w:tcW w:w="522" w:type="pct"/>
            <w:tcBorders>
              <w:top w:val="nil"/>
              <w:left w:val="nil"/>
              <w:bottom w:val="nil"/>
              <w:right w:val="nil"/>
            </w:tcBorders>
            <w:shd w:val="clear" w:color="auto" w:fill="FFFFFF"/>
            <w:vAlign w:val="center"/>
          </w:tcPr>
          <w:p w14:paraId="1ACEAF2C"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0.75</w:t>
            </w:r>
          </w:p>
        </w:tc>
        <w:tc>
          <w:tcPr>
            <w:tcW w:w="446" w:type="pct"/>
            <w:tcBorders>
              <w:top w:val="nil"/>
              <w:left w:val="nil"/>
              <w:bottom w:val="nil"/>
              <w:right w:val="nil"/>
            </w:tcBorders>
            <w:shd w:val="clear" w:color="auto" w:fill="FFFFFF"/>
            <w:vAlign w:val="center"/>
          </w:tcPr>
          <w:p w14:paraId="0622DE50"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0.067</w:t>
            </w:r>
          </w:p>
        </w:tc>
        <w:tc>
          <w:tcPr>
            <w:tcW w:w="470" w:type="pct"/>
            <w:tcBorders>
              <w:top w:val="nil"/>
              <w:left w:val="nil"/>
              <w:bottom w:val="nil"/>
              <w:right w:val="nil"/>
            </w:tcBorders>
            <w:shd w:val="clear" w:color="auto" w:fill="FFFFFF"/>
            <w:vAlign w:val="center"/>
          </w:tcPr>
          <w:p w14:paraId="02B766CD"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13.998</w:t>
            </w:r>
          </w:p>
        </w:tc>
        <w:tc>
          <w:tcPr>
            <w:tcW w:w="497" w:type="pct"/>
            <w:tcBorders>
              <w:top w:val="nil"/>
              <w:left w:val="nil"/>
              <w:bottom w:val="nil"/>
              <w:right w:val="nil"/>
            </w:tcBorders>
            <w:shd w:val="clear" w:color="auto" w:fill="FFFFFF"/>
            <w:vAlign w:val="center"/>
          </w:tcPr>
          <w:p w14:paraId="50EF81BD"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r>
      <w:tr w:rsidR="00147AD9" w14:paraId="4A89E95E" w14:textId="77777777">
        <w:trPr>
          <w:trHeight w:val="486"/>
        </w:trPr>
        <w:tc>
          <w:tcPr>
            <w:tcW w:w="1210" w:type="pct"/>
            <w:tcBorders>
              <w:top w:val="nil"/>
              <w:left w:val="nil"/>
              <w:bottom w:val="nil"/>
              <w:right w:val="nil"/>
            </w:tcBorders>
            <w:shd w:val="clear" w:color="auto" w:fill="FFFFFF"/>
            <w:noWrap/>
            <w:vAlign w:val="center"/>
          </w:tcPr>
          <w:p w14:paraId="36CBCF4D"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GL3</w:t>
            </w:r>
          </w:p>
        </w:tc>
        <w:tc>
          <w:tcPr>
            <w:tcW w:w="430" w:type="pct"/>
            <w:tcBorders>
              <w:top w:val="nil"/>
              <w:left w:val="nil"/>
              <w:bottom w:val="nil"/>
              <w:right w:val="nil"/>
            </w:tcBorders>
            <w:shd w:val="clear" w:color="auto" w:fill="FFFFFF"/>
            <w:noWrap/>
            <w:vAlign w:val="center"/>
          </w:tcPr>
          <w:p w14:paraId="43DC82BB"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&lt;---</w:t>
            </w:r>
          </w:p>
        </w:tc>
        <w:tc>
          <w:tcPr>
            <w:tcW w:w="1422" w:type="pct"/>
            <w:tcBorders>
              <w:top w:val="nil"/>
              <w:left w:val="nil"/>
              <w:bottom w:val="nil"/>
              <w:right w:val="nil"/>
            </w:tcBorders>
            <w:shd w:val="clear" w:color="auto" w:fill="FFFFFF"/>
            <w:vAlign w:val="center"/>
          </w:tcPr>
          <w:p w14:paraId="7D901DE4"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Green Leadership (GL)</w:t>
            </w:r>
          </w:p>
        </w:tc>
        <w:tc>
          <w:tcPr>
            <w:tcW w:w="522" w:type="pct"/>
            <w:tcBorders>
              <w:top w:val="nil"/>
              <w:left w:val="nil"/>
              <w:bottom w:val="nil"/>
              <w:right w:val="nil"/>
            </w:tcBorders>
            <w:shd w:val="clear" w:color="auto" w:fill="FFFFFF"/>
            <w:vAlign w:val="center"/>
          </w:tcPr>
          <w:p w14:paraId="1CD7AB7E"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0.775</w:t>
            </w:r>
          </w:p>
        </w:tc>
        <w:tc>
          <w:tcPr>
            <w:tcW w:w="446" w:type="pct"/>
            <w:tcBorders>
              <w:top w:val="nil"/>
              <w:left w:val="nil"/>
              <w:bottom w:val="nil"/>
              <w:right w:val="nil"/>
            </w:tcBorders>
            <w:shd w:val="clear" w:color="auto" w:fill="FFFFFF"/>
            <w:vAlign w:val="center"/>
          </w:tcPr>
          <w:p w14:paraId="18DAB766"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0.069</w:t>
            </w:r>
          </w:p>
        </w:tc>
        <w:tc>
          <w:tcPr>
            <w:tcW w:w="470" w:type="pct"/>
            <w:tcBorders>
              <w:top w:val="nil"/>
              <w:left w:val="nil"/>
              <w:bottom w:val="nil"/>
              <w:right w:val="nil"/>
            </w:tcBorders>
            <w:shd w:val="clear" w:color="auto" w:fill="FFFFFF"/>
            <w:vAlign w:val="center"/>
          </w:tcPr>
          <w:p w14:paraId="19BA877E"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14.482</w:t>
            </w:r>
          </w:p>
        </w:tc>
        <w:tc>
          <w:tcPr>
            <w:tcW w:w="497" w:type="pct"/>
            <w:tcBorders>
              <w:top w:val="nil"/>
              <w:left w:val="nil"/>
              <w:bottom w:val="nil"/>
              <w:right w:val="nil"/>
            </w:tcBorders>
            <w:shd w:val="clear" w:color="auto" w:fill="FFFFFF"/>
            <w:vAlign w:val="center"/>
          </w:tcPr>
          <w:p w14:paraId="23ECB289"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r>
      <w:tr w:rsidR="00147AD9" w14:paraId="380D8364" w14:textId="77777777">
        <w:trPr>
          <w:trHeight w:val="486"/>
        </w:trPr>
        <w:tc>
          <w:tcPr>
            <w:tcW w:w="1210" w:type="pct"/>
            <w:tcBorders>
              <w:top w:val="nil"/>
              <w:left w:val="nil"/>
              <w:bottom w:val="nil"/>
              <w:right w:val="nil"/>
            </w:tcBorders>
            <w:shd w:val="clear" w:color="auto" w:fill="FFFFFF"/>
            <w:noWrap/>
            <w:vAlign w:val="center"/>
          </w:tcPr>
          <w:p w14:paraId="27CA8C73"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GL4</w:t>
            </w:r>
          </w:p>
        </w:tc>
        <w:tc>
          <w:tcPr>
            <w:tcW w:w="430" w:type="pct"/>
            <w:tcBorders>
              <w:top w:val="nil"/>
              <w:left w:val="nil"/>
              <w:bottom w:val="nil"/>
              <w:right w:val="nil"/>
            </w:tcBorders>
            <w:shd w:val="clear" w:color="auto" w:fill="FFFFFF"/>
            <w:noWrap/>
            <w:vAlign w:val="center"/>
          </w:tcPr>
          <w:p w14:paraId="207ACE54"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&lt;---</w:t>
            </w:r>
          </w:p>
        </w:tc>
        <w:tc>
          <w:tcPr>
            <w:tcW w:w="1422" w:type="pct"/>
            <w:tcBorders>
              <w:top w:val="nil"/>
              <w:left w:val="nil"/>
              <w:bottom w:val="nil"/>
              <w:right w:val="nil"/>
            </w:tcBorders>
            <w:shd w:val="clear" w:color="auto" w:fill="FFFFFF"/>
            <w:vAlign w:val="center"/>
          </w:tcPr>
          <w:p w14:paraId="224A28FC"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Green Leadership (GL)</w:t>
            </w:r>
          </w:p>
        </w:tc>
        <w:tc>
          <w:tcPr>
            <w:tcW w:w="522" w:type="pct"/>
            <w:tcBorders>
              <w:top w:val="nil"/>
              <w:left w:val="nil"/>
              <w:bottom w:val="nil"/>
              <w:right w:val="nil"/>
            </w:tcBorders>
            <w:shd w:val="clear" w:color="auto" w:fill="FFFFFF"/>
            <w:vAlign w:val="center"/>
          </w:tcPr>
          <w:p w14:paraId="1213156E"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0.789</w:t>
            </w:r>
          </w:p>
        </w:tc>
        <w:tc>
          <w:tcPr>
            <w:tcW w:w="446" w:type="pct"/>
            <w:tcBorders>
              <w:top w:val="nil"/>
              <w:left w:val="nil"/>
              <w:bottom w:val="nil"/>
              <w:right w:val="nil"/>
            </w:tcBorders>
            <w:shd w:val="clear" w:color="auto" w:fill="FFFFFF"/>
            <w:vAlign w:val="center"/>
          </w:tcPr>
          <w:p w14:paraId="0129D430"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0.067</w:t>
            </w:r>
          </w:p>
        </w:tc>
        <w:tc>
          <w:tcPr>
            <w:tcW w:w="470" w:type="pct"/>
            <w:tcBorders>
              <w:top w:val="nil"/>
              <w:left w:val="nil"/>
              <w:bottom w:val="nil"/>
              <w:right w:val="nil"/>
            </w:tcBorders>
            <w:shd w:val="clear" w:color="auto" w:fill="FFFFFF"/>
            <w:vAlign w:val="center"/>
          </w:tcPr>
          <w:p w14:paraId="3CBDE3E5"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14.737</w:t>
            </w:r>
          </w:p>
        </w:tc>
        <w:tc>
          <w:tcPr>
            <w:tcW w:w="497" w:type="pct"/>
            <w:tcBorders>
              <w:top w:val="nil"/>
              <w:left w:val="nil"/>
              <w:bottom w:val="nil"/>
              <w:right w:val="nil"/>
            </w:tcBorders>
            <w:shd w:val="clear" w:color="auto" w:fill="FFFFFF"/>
            <w:vAlign w:val="center"/>
          </w:tcPr>
          <w:p w14:paraId="5BDC9358"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r>
      <w:tr w:rsidR="00147AD9" w14:paraId="310EFF1E" w14:textId="77777777">
        <w:trPr>
          <w:trHeight w:val="486"/>
        </w:trPr>
        <w:tc>
          <w:tcPr>
            <w:tcW w:w="1210" w:type="pct"/>
            <w:tcBorders>
              <w:top w:val="nil"/>
              <w:left w:val="nil"/>
              <w:bottom w:val="nil"/>
              <w:right w:val="nil"/>
            </w:tcBorders>
            <w:shd w:val="clear" w:color="auto" w:fill="FFFFFF"/>
            <w:noWrap/>
            <w:vAlign w:val="center"/>
          </w:tcPr>
          <w:p w14:paraId="797666CC"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EGB1</w:t>
            </w:r>
          </w:p>
        </w:tc>
        <w:tc>
          <w:tcPr>
            <w:tcW w:w="430" w:type="pct"/>
            <w:tcBorders>
              <w:top w:val="nil"/>
              <w:left w:val="nil"/>
              <w:bottom w:val="nil"/>
              <w:right w:val="nil"/>
            </w:tcBorders>
            <w:shd w:val="clear" w:color="auto" w:fill="FFFFFF"/>
            <w:noWrap/>
            <w:vAlign w:val="center"/>
          </w:tcPr>
          <w:p w14:paraId="4E528749"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&lt;---</w:t>
            </w:r>
          </w:p>
        </w:tc>
        <w:tc>
          <w:tcPr>
            <w:tcW w:w="1422" w:type="pct"/>
            <w:tcBorders>
              <w:top w:val="nil"/>
              <w:left w:val="nil"/>
              <w:bottom w:val="nil"/>
              <w:right w:val="nil"/>
            </w:tcBorders>
            <w:shd w:val="clear" w:color="auto" w:fill="FFFFFF"/>
            <w:vAlign w:val="center"/>
          </w:tcPr>
          <w:p w14:paraId="4F1CDA01"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Employee Green Behavior (EGB)</w:t>
            </w:r>
          </w:p>
        </w:tc>
        <w:tc>
          <w:tcPr>
            <w:tcW w:w="522" w:type="pct"/>
            <w:tcBorders>
              <w:top w:val="nil"/>
              <w:left w:val="nil"/>
              <w:bottom w:val="nil"/>
              <w:right w:val="nil"/>
            </w:tcBorders>
            <w:shd w:val="clear" w:color="auto" w:fill="FFFFFF"/>
            <w:vAlign w:val="center"/>
          </w:tcPr>
          <w:p w14:paraId="20E43414"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0.787</w:t>
            </w:r>
          </w:p>
        </w:tc>
        <w:tc>
          <w:tcPr>
            <w:tcW w:w="446" w:type="pct"/>
            <w:tcBorders>
              <w:top w:val="nil"/>
              <w:left w:val="nil"/>
              <w:bottom w:val="nil"/>
              <w:right w:val="nil"/>
            </w:tcBorders>
            <w:shd w:val="clear" w:color="auto" w:fill="FFFFFF"/>
            <w:vAlign w:val="center"/>
          </w:tcPr>
          <w:p w14:paraId="6DAEA354" w14:textId="77777777" w:rsidR="00147AD9" w:rsidRDefault="00147AD9">
            <w:pPr>
              <w:jc w:val="center"/>
              <w:rPr>
                <w:rFonts w:ascii="Times New Roman" w:hAnsi="Times New Roman" w:cs="Times New Roman"/>
                <w:color w:val="000000"/>
                <w:sz w:val="22"/>
                <w:szCs w:val="22"/>
              </w:rPr>
            </w:pPr>
          </w:p>
        </w:tc>
        <w:tc>
          <w:tcPr>
            <w:tcW w:w="470" w:type="pct"/>
            <w:tcBorders>
              <w:top w:val="nil"/>
              <w:left w:val="nil"/>
              <w:bottom w:val="nil"/>
              <w:right w:val="nil"/>
            </w:tcBorders>
            <w:shd w:val="clear" w:color="auto" w:fill="FFFFFF"/>
            <w:vAlign w:val="center"/>
          </w:tcPr>
          <w:p w14:paraId="5FBCB2F8" w14:textId="77777777" w:rsidR="00147AD9" w:rsidRDefault="00147AD9">
            <w:pPr>
              <w:jc w:val="center"/>
              <w:rPr>
                <w:rFonts w:ascii="Times New Roman" w:hAnsi="Times New Roman" w:cs="Times New Roman"/>
                <w:color w:val="000000"/>
                <w:sz w:val="22"/>
                <w:szCs w:val="22"/>
              </w:rPr>
            </w:pPr>
          </w:p>
        </w:tc>
        <w:tc>
          <w:tcPr>
            <w:tcW w:w="497" w:type="pct"/>
            <w:tcBorders>
              <w:top w:val="nil"/>
              <w:left w:val="nil"/>
              <w:bottom w:val="nil"/>
              <w:right w:val="nil"/>
            </w:tcBorders>
            <w:shd w:val="clear" w:color="auto" w:fill="FFFFFF"/>
            <w:vAlign w:val="center"/>
          </w:tcPr>
          <w:p w14:paraId="652AABD5" w14:textId="77777777" w:rsidR="00147AD9" w:rsidRDefault="00147AD9">
            <w:pPr>
              <w:jc w:val="center"/>
              <w:rPr>
                <w:rFonts w:ascii="Times New Roman" w:hAnsi="Times New Roman" w:cs="Times New Roman"/>
                <w:color w:val="000000"/>
                <w:sz w:val="22"/>
                <w:szCs w:val="22"/>
              </w:rPr>
            </w:pPr>
          </w:p>
        </w:tc>
      </w:tr>
      <w:tr w:rsidR="00147AD9" w14:paraId="22B5CD11" w14:textId="77777777">
        <w:trPr>
          <w:trHeight w:val="486"/>
        </w:trPr>
        <w:tc>
          <w:tcPr>
            <w:tcW w:w="1210" w:type="pct"/>
            <w:tcBorders>
              <w:top w:val="nil"/>
              <w:left w:val="nil"/>
              <w:bottom w:val="nil"/>
              <w:right w:val="nil"/>
            </w:tcBorders>
            <w:shd w:val="clear" w:color="auto" w:fill="FFFFFF"/>
            <w:noWrap/>
            <w:vAlign w:val="center"/>
          </w:tcPr>
          <w:p w14:paraId="275DFB97"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EGB2</w:t>
            </w:r>
          </w:p>
        </w:tc>
        <w:tc>
          <w:tcPr>
            <w:tcW w:w="430" w:type="pct"/>
            <w:tcBorders>
              <w:top w:val="nil"/>
              <w:left w:val="nil"/>
              <w:bottom w:val="nil"/>
              <w:right w:val="nil"/>
            </w:tcBorders>
            <w:shd w:val="clear" w:color="auto" w:fill="FFFFFF"/>
            <w:noWrap/>
            <w:vAlign w:val="center"/>
          </w:tcPr>
          <w:p w14:paraId="5B899397"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&lt;---</w:t>
            </w:r>
          </w:p>
        </w:tc>
        <w:tc>
          <w:tcPr>
            <w:tcW w:w="1422" w:type="pct"/>
            <w:tcBorders>
              <w:top w:val="nil"/>
              <w:left w:val="nil"/>
              <w:bottom w:val="nil"/>
              <w:right w:val="nil"/>
            </w:tcBorders>
            <w:shd w:val="clear" w:color="auto" w:fill="FFFFFF"/>
            <w:vAlign w:val="center"/>
          </w:tcPr>
          <w:p w14:paraId="47EFE97D"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Employee Green Behavior (EGB)</w:t>
            </w:r>
          </w:p>
        </w:tc>
        <w:tc>
          <w:tcPr>
            <w:tcW w:w="522" w:type="pct"/>
            <w:tcBorders>
              <w:top w:val="nil"/>
              <w:left w:val="nil"/>
              <w:bottom w:val="nil"/>
              <w:right w:val="nil"/>
            </w:tcBorders>
            <w:shd w:val="clear" w:color="auto" w:fill="FFFFFF"/>
            <w:vAlign w:val="center"/>
          </w:tcPr>
          <w:p w14:paraId="59DD2DE2"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0.769</w:t>
            </w:r>
          </w:p>
        </w:tc>
        <w:tc>
          <w:tcPr>
            <w:tcW w:w="446" w:type="pct"/>
            <w:tcBorders>
              <w:top w:val="nil"/>
              <w:left w:val="nil"/>
              <w:bottom w:val="nil"/>
              <w:right w:val="nil"/>
            </w:tcBorders>
            <w:shd w:val="clear" w:color="auto" w:fill="FFFFFF"/>
            <w:vAlign w:val="center"/>
          </w:tcPr>
          <w:p w14:paraId="15363043"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0.069</w:t>
            </w:r>
          </w:p>
        </w:tc>
        <w:tc>
          <w:tcPr>
            <w:tcW w:w="470" w:type="pct"/>
            <w:tcBorders>
              <w:top w:val="nil"/>
              <w:left w:val="nil"/>
              <w:bottom w:val="nil"/>
              <w:right w:val="nil"/>
            </w:tcBorders>
            <w:shd w:val="clear" w:color="auto" w:fill="FFFFFF"/>
            <w:vAlign w:val="center"/>
          </w:tcPr>
          <w:p w14:paraId="5AE6492A"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14.578</w:t>
            </w:r>
          </w:p>
        </w:tc>
        <w:tc>
          <w:tcPr>
            <w:tcW w:w="497" w:type="pct"/>
            <w:tcBorders>
              <w:top w:val="nil"/>
              <w:left w:val="nil"/>
              <w:bottom w:val="nil"/>
              <w:right w:val="nil"/>
            </w:tcBorders>
            <w:shd w:val="clear" w:color="auto" w:fill="FFFFFF"/>
            <w:vAlign w:val="center"/>
          </w:tcPr>
          <w:p w14:paraId="4F91AD65"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r>
      <w:tr w:rsidR="00147AD9" w14:paraId="28700035" w14:textId="77777777">
        <w:trPr>
          <w:trHeight w:val="486"/>
        </w:trPr>
        <w:tc>
          <w:tcPr>
            <w:tcW w:w="1210" w:type="pct"/>
            <w:tcBorders>
              <w:top w:val="nil"/>
              <w:left w:val="nil"/>
              <w:bottom w:val="nil"/>
              <w:right w:val="nil"/>
            </w:tcBorders>
            <w:shd w:val="clear" w:color="auto" w:fill="FFFFFF"/>
            <w:noWrap/>
            <w:vAlign w:val="center"/>
          </w:tcPr>
          <w:p w14:paraId="3388C2B1"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EGB3</w:t>
            </w:r>
          </w:p>
        </w:tc>
        <w:tc>
          <w:tcPr>
            <w:tcW w:w="430" w:type="pct"/>
            <w:tcBorders>
              <w:top w:val="nil"/>
              <w:left w:val="nil"/>
              <w:bottom w:val="nil"/>
              <w:right w:val="nil"/>
            </w:tcBorders>
            <w:shd w:val="clear" w:color="auto" w:fill="FFFFFF"/>
            <w:noWrap/>
            <w:vAlign w:val="center"/>
          </w:tcPr>
          <w:p w14:paraId="20A1DF03"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&lt;---</w:t>
            </w:r>
          </w:p>
        </w:tc>
        <w:tc>
          <w:tcPr>
            <w:tcW w:w="1422" w:type="pct"/>
            <w:tcBorders>
              <w:top w:val="nil"/>
              <w:left w:val="nil"/>
              <w:bottom w:val="nil"/>
              <w:right w:val="nil"/>
            </w:tcBorders>
            <w:shd w:val="clear" w:color="auto" w:fill="FFFFFF"/>
            <w:vAlign w:val="center"/>
          </w:tcPr>
          <w:p w14:paraId="7CF54057"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Employee Green Behavior (EGB)</w:t>
            </w:r>
          </w:p>
        </w:tc>
        <w:tc>
          <w:tcPr>
            <w:tcW w:w="522" w:type="pct"/>
            <w:tcBorders>
              <w:top w:val="nil"/>
              <w:left w:val="nil"/>
              <w:bottom w:val="nil"/>
              <w:right w:val="nil"/>
            </w:tcBorders>
            <w:shd w:val="clear" w:color="auto" w:fill="FFFFFF"/>
            <w:vAlign w:val="center"/>
          </w:tcPr>
          <w:p w14:paraId="67B24A08"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0.819</w:t>
            </w:r>
          </w:p>
        </w:tc>
        <w:tc>
          <w:tcPr>
            <w:tcW w:w="446" w:type="pct"/>
            <w:tcBorders>
              <w:top w:val="nil"/>
              <w:left w:val="nil"/>
              <w:bottom w:val="nil"/>
              <w:right w:val="nil"/>
            </w:tcBorders>
            <w:shd w:val="clear" w:color="auto" w:fill="FFFFFF"/>
            <w:vAlign w:val="center"/>
          </w:tcPr>
          <w:p w14:paraId="3DCEFBA2"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0.069</w:t>
            </w:r>
          </w:p>
        </w:tc>
        <w:tc>
          <w:tcPr>
            <w:tcW w:w="470" w:type="pct"/>
            <w:tcBorders>
              <w:top w:val="nil"/>
              <w:left w:val="nil"/>
              <w:bottom w:val="nil"/>
              <w:right w:val="nil"/>
            </w:tcBorders>
            <w:shd w:val="clear" w:color="auto" w:fill="FFFFFF"/>
            <w:vAlign w:val="center"/>
          </w:tcPr>
          <w:p w14:paraId="489850D0"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15.53</w:t>
            </w:r>
          </w:p>
        </w:tc>
        <w:tc>
          <w:tcPr>
            <w:tcW w:w="497" w:type="pct"/>
            <w:tcBorders>
              <w:top w:val="nil"/>
              <w:left w:val="nil"/>
              <w:bottom w:val="nil"/>
              <w:right w:val="nil"/>
            </w:tcBorders>
            <w:shd w:val="clear" w:color="auto" w:fill="FFFFFF"/>
            <w:vAlign w:val="center"/>
          </w:tcPr>
          <w:p w14:paraId="16612909"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r>
      <w:tr w:rsidR="00147AD9" w14:paraId="724891B5" w14:textId="77777777">
        <w:trPr>
          <w:trHeight w:val="509"/>
        </w:trPr>
        <w:tc>
          <w:tcPr>
            <w:tcW w:w="1210" w:type="pct"/>
            <w:tcBorders>
              <w:top w:val="nil"/>
              <w:left w:val="nil"/>
              <w:bottom w:val="single" w:sz="12" w:space="0" w:color="000000"/>
              <w:right w:val="nil"/>
            </w:tcBorders>
            <w:shd w:val="clear" w:color="auto" w:fill="FFFFFF"/>
            <w:noWrap/>
            <w:vAlign w:val="center"/>
          </w:tcPr>
          <w:p w14:paraId="6BC4C519"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EGB4</w:t>
            </w:r>
          </w:p>
        </w:tc>
        <w:tc>
          <w:tcPr>
            <w:tcW w:w="430" w:type="pct"/>
            <w:tcBorders>
              <w:top w:val="nil"/>
              <w:left w:val="nil"/>
              <w:bottom w:val="single" w:sz="12" w:space="0" w:color="000000"/>
              <w:right w:val="nil"/>
            </w:tcBorders>
            <w:shd w:val="clear" w:color="auto" w:fill="FFFFFF"/>
            <w:noWrap/>
            <w:vAlign w:val="center"/>
          </w:tcPr>
          <w:p w14:paraId="76CA33BC"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&lt;---</w:t>
            </w:r>
          </w:p>
        </w:tc>
        <w:tc>
          <w:tcPr>
            <w:tcW w:w="1422" w:type="pct"/>
            <w:tcBorders>
              <w:top w:val="nil"/>
              <w:left w:val="nil"/>
              <w:bottom w:val="single" w:sz="12" w:space="0" w:color="000000"/>
              <w:right w:val="nil"/>
            </w:tcBorders>
            <w:shd w:val="clear" w:color="auto" w:fill="FFFFFF"/>
            <w:vAlign w:val="center"/>
          </w:tcPr>
          <w:p w14:paraId="462FA39D"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Employee Green Behavior (EGB)</w:t>
            </w:r>
          </w:p>
        </w:tc>
        <w:tc>
          <w:tcPr>
            <w:tcW w:w="522" w:type="pct"/>
            <w:tcBorders>
              <w:top w:val="nil"/>
              <w:left w:val="nil"/>
              <w:bottom w:val="single" w:sz="12" w:space="0" w:color="000000"/>
              <w:right w:val="nil"/>
            </w:tcBorders>
            <w:shd w:val="clear" w:color="auto" w:fill="FFFFFF"/>
            <w:vAlign w:val="center"/>
          </w:tcPr>
          <w:p w14:paraId="2CA4A2AA"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0.744</w:t>
            </w:r>
          </w:p>
        </w:tc>
        <w:tc>
          <w:tcPr>
            <w:tcW w:w="446" w:type="pct"/>
            <w:tcBorders>
              <w:top w:val="nil"/>
              <w:left w:val="nil"/>
              <w:bottom w:val="single" w:sz="12" w:space="0" w:color="000000"/>
              <w:right w:val="nil"/>
            </w:tcBorders>
            <w:shd w:val="clear" w:color="auto" w:fill="FFFFFF"/>
            <w:vAlign w:val="center"/>
          </w:tcPr>
          <w:p w14:paraId="43012B6D"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0.07</w:t>
            </w:r>
          </w:p>
        </w:tc>
        <w:tc>
          <w:tcPr>
            <w:tcW w:w="470" w:type="pct"/>
            <w:tcBorders>
              <w:top w:val="nil"/>
              <w:left w:val="nil"/>
              <w:bottom w:val="single" w:sz="12" w:space="0" w:color="000000"/>
              <w:right w:val="nil"/>
            </w:tcBorders>
            <w:shd w:val="clear" w:color="auto" w:fill="FFFFFF"/>
            <w:vAlign w:val="center"/>
          </w:tcPr>
          <w:p w14:paraId="1EEBBC02"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14.06</w:t>
            </w:r>
          </w:p>
        </w:tc>
        <w:tc>
          <w:tcPr>
            <w:tcW w:w="497" w:type="pct"/>
            <w:tcBorders>
              <w:top w:val="nil"/>
              <w:left w:val="nil"/>
              <w:bottom w:val="single" w:sz="12" w:space="0" w:color="000000"/>
              <w:right w:val="nil"/>
            </w:tcBorders>
            <w:shd w:val="clear" w:color="auto" w:fill="FFFFFF"/>
            <w:vAlign w:val="center"/>
          </w:tcPr>
          <w:p w14:paraId="5498502C" w14:textId="77777777" w:rsidR="00147AD9" w:rsidRDefault="00000000">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r>
    </w:tbl>
    <w:p w14:paraId="650AB1E8" w14:textId="77777777" w:rsidR="00147AD9" w:rsidRDefault="00147AD9">
      <w:pPr>
        <w:rPr>
          <w:rFonts w:ascii="Times New Roman" w:hAnsi="Times New Roman" w:cs="Times New Roman"/>
        </w:rPr>
      </w:pPr>
    </w:p>
    <w:p w14:paraId="6657F383"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4.6 Mediation Analysis</w:t>
      </w:r>
    </w:p>
    <w:p w14:paraId="5725C773"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To rigorously investigate the indirect mechanisms underlying the relationship between corporate green culture (CGC) and employee green behavior (EGB), bootstrapping analyses were performed, with the results summarized in Table 10. The analyses provide robust empirical support for the dual mediating roles of green leadership (GL) and psychological contract (PC), offering critical insight into the processes through which organizational cultural values are internalized and translated into individual behavioral outcomes.</w:t>
      </w:r>
    </w:p>
    <w:p w14:paraId="5F615EF7"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The indirect pathway from CGC to EGB through GL yielded an effect value of 0.042, with a 95% confidence interval (CI) ranging from 0.0108 to 0.0814 and a standard error of 0.0178. The exclusion of zero from the CI confirms a statistically significant full mediation effect. This result underscores the pivotal role of leadership as a relational mechanism, shaping how employees interpret organizational environmental signals and motivating alignment with sustainability objectives. The finding aligns with prior research emphasizing the importance of leadership enactment in mobilizing organizational culture into concrete pro-environmental behaviors (Elshaer et al., 2024; Priatna et al., 2025).</w:t>
      </w:r>
    </w:p>
    <w:p w14:paraId="358521EB"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 xml:space="preserve">The indirect pathway from CGC to EGB through PC produced an effect value of 0.0273, with a 95% CI ranging from 0.0067 to 0.0543 and a standard error of 0.0123. </w:t>
      </w:r>
      <w:r>
        <w:rPr>
          <w:rFonts w:ascii="Times New Roman" w:hAnsi="Times New Roman" w:cs="Times New Roman"/>
          <w:sz w:val="24"/>
        </w:rPr>
        <w:lastRenderedPageBreak/>
        <w:t>The CI’s exclusion of zero similarly indicates a statistically significant full mediation effect. This highlights the importance of cognitive-affective mechanisms, wherein employees internalize organizational environmental values into their perceived mutual obligations, thus fostering discretionary green behaviors. These results resonate with prior research identifying psychological contract as a crucial mediator in the relationship between organizational cues and individual behavioral responses (Arslan et al., 2025; Mostafa, 2025).</w:t>
      </w:r>
    </w:p>
    <w:p w14:paraId="4F72F555"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 xml:space="preserve"> the findings demonstrate that the influence of corporate green culture on employee green behavior is not solely direct but is substantially amplified through both relational and psychological mediating pathways. The confirmation of full mediation in both channels emphasizes the necessity for integrated organizational strategies that leverage both leadership influence and psychological contract fulfillment to effectively embed cultural sustainability values within employee conduct. This dual-process framework advances theoretical understanding by providing a more nuanced account of how institutional environmental commitments are operationalized within organizations, contributing to the broader literature on sustainability and organizational behavior.</w:t>
      </w:r>
    </w:p>
    <w:p w14:paraId="083AAA3B" w14:textId="77777777" w:rsidR="00147AD9" w:rsidRDefault="00000000">
      <w:pPr>
        <w:jc w:val="center"/>
        <w:rPr>
          <w:rFonts w:ascii="Times New Roman" w:eastAsia="宋体" w:hAnsi="Times New Roman" w:cs="Times New Roman"/>
          <w:sz w:val="22"/>
          <w:szCs w:val="22"/>
        </w:rPr>
      </w:pPr>
      <w:r>
        <w:rPr>
          <w:rFonts w:ascii="Times New Roman" w:eastAsia="宋体" w:hAnsi="Times New Roman" w:cs="Times New Roman"/>
          <w:color w:val="000000"/>
          <w:kern w:val="0"/>
          <w:sz w:val="22"/>
          <w:szCs w:val="22"/>
          <w:lang w:bidi="ar"/>
        </w:rPr>
        <w:t>Table 10  Bootstrapping Results for Mediation Effects</w:t>
      </w:r>
    </w:p>
    <w:tbl>
      <w:tblPr>
        <w:tblW w:w="4997" w:type="pct"/>
        <w:tblLook w:val="04A0" w:firstRow="1" w:lastRow="0" w:firstColumn="1" w:lastColumn="0" w:noHBand="0" w:noVBand="1"/>
      </w:tblPr>
      <w:tblGrid>
        <w:gridCol w:w="1344"/>
        <w:gridCol w:w="1349"/>
        <w:gridCol w:w="1096"/>
        <w:gridCol w:w="1098"/>
        <w:gridCol w:w="1099"/>
        <w:gridCol w:w="1096"/>
        <w:gridCol w:w="1219"/>
      </w:tblGrid>
      <w:tr w:rsidR="00147AD9" w14:paraId="5BB03F81" w14:textId="77777777">
        <w:trPr>
          <w:trHeight w:val="270"/>
        </w:trPr>
        <w:tc>
          <w:tcPr>
            <w:tcW w:w="820" w:type="pct"/>
            <w:vMerge w:val="restart"/>
            <w:tcBorders>
              <w:top w:val="single" w:sz="12" w:space="0" w:color="000000"/>
              <w:left w:val="nil"/>
              <w:bottom w:val="single" w:sz="4" w:space="0" w:color="000000"/>
              <w:right w:val="nil"/>
              <w:tl2br w:val="nil"/>
            </w:tcBorders>
            <w:shd w:val="clear" w:color="auto" w:fill="FFFFFF"/>
            <w:vAlign w:val="center"/>
          </w:tcPr>
          <w:p w14:paraId="4DA13F92"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Pathway</w:t>
            </w:r>
          </w:p>
        </w:tc>
        <w:tc>
          <w:tcPr>
            <w:tcW w:w="823" w:type="pct"/>
            <w:vMerge w:val="restart"/>
            <w:tcBorders>
              <w:top w:val="single" w:sz="12" w:space="0" w:color="000000"/>
              <w:left w:val="nil"/>
              <w:bottom w:val="single" w:sz="4" w:space="0" w:color="000000"/>
              <w:right w:val="nil"/>
            </w:tcBorders>
            <w:shd w:val="clear" w:color="auto" w:fill="FFFFFF"/>
            <w:vAlign w:val="center"/>
          </w:tcPr>
          <w:p w14:paraId="3E10AF56"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Effect Type</w:t>
            </w:r>
          </w:p>
        </w:tc>
        <w:tc>
          <w:tcPr>
            <w:tcW w:w="670" w:type="pct"/>
            <w:vMerge w:val="restart"/>
            <w:tcBorders>
              <w:top w:val="single" w:sz="12" w:space="0" w:color="000000"/>
              <w:left w:val="nil"/>
              <w:bottom w:val="single" w:sz="4" w:space="0" w:color="000000"/>
              <w:right w:val="nil"/>
            </w:tcBorders>
            <w:shd w:val="clear" w:color="auto" w:fill="FFFFFF"/>
            <w:vAlign w:val="center"/>
          </w:tcPr>
          <w:p w14:paraId="21235448"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Effect Value</w:t>
            </w:r>
          </w:p>
        </w:tc>
        <w:tc>
          <w:tcPr>
            <w:tcW w:w="1343" w:type="pct"/>
            <w:gridSpan w:val="2"/>
            <w:tcBorders>
              <w:top w:val="single" w:sz="12" w:space="0" w:color="000000"/>
              <w:left w:val="nil"/>
              <w:bottom w:val="single" w:sz="4" w:space="0" w:color="000000"/>
              <w:right w:val="nil"/>
            </w:tcBorders>
            <w:shd w:val="clear" w:color="auto" w:fill="FFFFFF"/>
            <w:noWrap/>
            <w:vAlign w:val="center"/>
          </w:tcPr>
          <w:p w14:paraId="6365000F"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95% CI</w:t>
            </w:r>
          </w:p>
        </w:tc>
        <w:tc>
          <w:tcPr>
            <w:tcW w:w="670" w:type="pct"/>
            <w:vMerge w:val="restart"/>
            <w:tcBorders>
              <w:top w:val="single" w:sz="12" w:space="0" w:color="000000"/>
              <w:left w:val="nil"/>
              <w:bottom w:val="single" w:sz="4" w:space="0" w:color="000000"/>
              <w:right w:val="nil"/>
            </w:tcBorders>
            <w:shd w:val="clear" w:color="auto" w:fill="FFFFFF"/>
            <w:vAlign w:val="center"/>
          </w:tcPr>
          <w:p w14:paraId="34C0183E"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Standard Error</w:t>
            </w:r>
          </w:p>
        </w:tc>
        <w:tc>
          <w:tcPr>
            <w:tcW w:w="670" w:type="pct"/>
            <w:vMerge w:val="restart"/>
            <w:tcBorders>
              <w:top w:val="single" w:sz="12" w:space="0" w:color="000000"/>
              <w:left w:val="nil"/>
              <w:bottom w:val="single" w:sz="4" w:space="0" w:color="000000"/>
              <w:right w:val="nil"/>
            </w:tcBorders>
            <w:shd w:val="clear" w:color="auto" w:fill="FFFFFF"/>
            <w:vAlign w:val="center"/>
          </w:tcPr>
          <w:p w14:paraId="486EBF5D"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Conclusion</w:t>
            </w:r>
          </w:p>
        </w:tc>
      </w:tr>
      <w:tr w:rsidR="00147AD9" w14:paraId="1C900A1B" w14:textId="77777777">
        <w:trPr>
          <w:trHeight w:val="270"/>
        </w:trPr>
        <w:tc>
          <w:tcPr>
            <w:tcW w:w="820" w:type="pct"/>
            <w:vMerge/>
            <w:tcBorders>
              <w:top w:val="single" w:sz="4" w:space="0" w:color="000000"/>
              <w:left w:val="nil"/>
              <w:bottom w:val="nil"/>
              <w:right w:val="nil"/>
            </w:tcBorders>
            <w:shd w:val="clear" w:color="auto" w:fill="FFFFFF"/>
            <w:vAlign w:val="center"/>
          </w:tcPr>
          <w:p w14:paraId="13812736" w14:textId="77777777" w:rsidR="00147AD9" w:rsidRDefault="00147AD9">
            <w:pPr>
              <w:jc w:val="center"/>
              <w:rPr>
                <w:rFonts w:ascii="Times New Roman" w:eastAsia="宋体" w:hAnsi="Times New Roman" w:cs="Times New Roman"/>
                <w:bCs/>
                <w:color w:val="000000"/>
                <w:sz w:val="22"/>
                <w:szCs w:val="22"/>
              </w:rPr>
            </w:pPr>
          </w:p>
        </w:tc>
        <w:tc>
          <w:tcPr>
            <w:tcW w:w="823" w:type="pct"/>
            <w:vMerge/>
            <w:tcBorders>
              <w:top w:val="single" w:sz="4" w:space="0" w:color="000000"/>
              <w:left w:val="nil"/>
              <w:bottom w:val="nil"/>
              <w:right w:val="nil"/>
            </w:tcBorders>
            <w:shd w:val="clear" w:color="auto" w:fill="FFFFFF"/>
            <w:vAlign w:val="center"/>
          </w:tcPr>
          <w:p w14:paraId="5CC9F2F2" w14:textId="77777777" w:rsidR="00147AD9" w:rsidRDefault="00147AD9">
            <w:pPr>
              <w:jc w:val="center"/>
              <w:rPr>
                <w:rFonts w:ascii="Times New Roman" w:eastAsia="宋体" w:hAnsi="Times New Roman" w:cs="Times New Roman"/>
                <w:bCs/>
                <w:color w:val="000000"/>
                <w:sz w:val="22"/>
                <w:szCs w:val="22"/>
              </w:rPr>
            </w:pPr>
          </w:p>
        </w:tc>
        <w:tc>
          <w:tcPr>
            <w:tcW w:w="670" w:type="pct"/>
            <w:vMerge/>
            <w:tcBorders>
              <w:top w:val="single" w:sz="4" w:space="0" w:color="000000"/>
              <w:left w:val="nil"/>
              <w:bottom w:val="nil"/>
              <w:right w:val="nil"/>
            </w:tcBorders>
            <w:shd w:val="clear" w:color="auto" w:fill="FFFFFF"/>
            <w:vAlign w:val="center"/>
          </w:tcPr>
          <w:p w14:paraId="4A7A0DD2" w14:textId="77777777" w:rsidR="00147AD9" w:rsidRDefault="00147AD9">
            <w:pPr>
              <w:jc w:val="center"/>
              <w:rPr>
                <w:rFonts w:ascii="Times New Roman" w:eastAsia="宋体" w:hAnsi="Times New Roman" w:cs="Times New Roman"/>
                <w:bCs/>
                <w:color w:val="000000"/>
                <w:sz w:val="22"/>
                <w:szCs w:val="22"/>
              </w:rPr>
            </w:pPr>
          </w:p>
        </w:tc>
        <w:tc>
          <w:tcPr>
            <w:tcW w:w="671" w:type="pct"/>
            <w:tcBorders>
              <w:top w:val="single" w:sz="4" w:space="0" w:color="000000"/>
              <w:left w:val="nil"/>
              <w:bottom w:val="nil"/>
              <w:right w:val="nil"/>
            </w:tcBorders>
            <w:shd w:val="clear" w:color="auto" w:fill="FFFFFF"/>
            <w:vAlign w:val="center"/>
          </w:tcPr>
          <w:p w14:paraId="47711E4F"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Lower</w:t>
            </w:r>
          </w:p>
        </w:tc>
        <w:tc>
          <w:tcPr>
            <w:tcW w:w="671" w:type="pct"/>
            <w:tcBorders>
              <w:top w:val="single" w:sz="4" w:space="0" w:color="000000"/>
              <w:left w:val="nil"/>
              <w:bottom w:val="nil"/>
              <w:right w:val="nil"/>
            </w:tcBorders>
            <w:shd w:val="clear" w:color="auto" w:fill="FFFFFF"/>
            <w:vAlign w:val="center"/>
          </w:tcPr>
          <w:p w14:paraId="59A4A18D"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Upper</w:t>
            </w:r>
          </w:p>
        </w:tc>
        <w:tc>
          <w:tcPr>
            <w:tcW w:w="670" w:type="pct"/>
            <w:vMerge/>
            <w:tcBorders>
              <w:top w:val="single" w:sz="4" w:space="0" w:color="000000"/>
              <w:left w:val="nil"/>
              <w:bottom w:val="nil"/>
              <w:right w:val="nil"/>
            </w:tcBorders>
            <w:shd w:val="clear" w:color="auto" w:fill="FFFFFF"/>
            <w:vAlign w:val="center"/>
          </w:tcPr>
          <w:p w14:paraId="1BD68ACC" w14:textId="77777777" w:rsidR="00147AD9" w:rsidRDefault="00147AD9">
            <w:pPr>
              <w:jc w:val="center"/>
              <w:rPr>
                <w:rFonts w:ascii="Times New Roman" w:eastAsia="宋体" w:hAnsi="Times New Roman" w:cs="Times New Roman"/>
                <w:bCs/>
                <w:color w:val="000000"/>
                <w:sz w:val="22"/>
                <w:szCs w:val="22"/>
              </w:rPr>
            </w:pPr>
          </w:p>
        </w:tc>
        <w:tc>
          <w:tcPr>
            <w:tcW w:w="670" w:type="pct"/>
            <w:vMerge/>
            <w:tcBorders>
              <w:top w:val="single" w:sz="4" w:space="0" w:color="000000"/>
              <w:left w:val="nil"/>
              <w:bottom w:val="nil"/>
              <w:right w:val="nil"/>
            </w:tcBorders>
            <w:shd w:val="clear" w:color="auto" w:fill="FFFFFF"/>
            <w:vAlign w:val="center"/>
          </w:tcPr>
          <w:p w14:paraId="10976F28" w14:textId="77777777" w:rsidR="00147AD9" w:rsidRDefault="00147AD9">
            <w:pPr>
              <w:jc w:val="center"/>
              <w:rPr>
                <w:rFonts w:ascii="Times New Roman" w:eastAsia="宋体" w:hAnsi="Times New Roman" w:cs="Times New Roman"/>
                <w:bCs/>
                <w:color w:val="000000"/>
                <w:sz w:val="22"/>
                <w:szCs w:val="22"/>
              </w:rPr>
            </w:pPr>
          </w:p>
        </w:tc>
      </w:tr>
      <w:tr w:rsidR="00147AD9" w14:paraId="09EE0B43" w14:textId="77777777">
        <w:trPr>
          <w:trHeight w:val="270"/>
        </w:trPr>
        <w:tc>
          <w:tcPr>
            <w:tcW w:w="820" w:type="pct"/>
            <w:tcBorders>
              <w:top w:val="nil"/>
              <w:left w:val="nil"/>
              <w:bottom w:val="nil"/>
              <w:right w:val="nil"/>
            </w:tcBorders>
            <w:shd w:val="clear" w:color="auto" w:fill="FFFFFF"/>
            <w:vAlign w:val="center"/>
          </w:tcPr>
          <w:p w14:paraId="5CE0669A"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CGC → GL → EGB</w:t>
            </w:r>
          </w:p>
        </w:tc>
        <w:tc>
          <w:tcPr>
            <w:tcW w:w="823" w:type="pct"/>
            <w:tcBorders>
              <w:top w:val="nil"/>
              <w:left w:val="nil"/>
              <w:bottom w:val="nil"/>
              <w:right w:val="nil"/>
            </w:tcBorders>
            <w:shd w:val="clear" w:color="auto" w:fill="FFFFFF"/>
            <w:vAlign w:val="center"/>
          </w:tcPr>
          <w:p w14:paraId="27CD1603"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Indirect Effect</w:t>
            </w:r>
          </w:p>
        </w:tc>
        <w:tc>
          <w:tcPr>
            <w:tcW w:w="670" w:type="pct"/>
            <w:tcBorders>
              <w:top w:val="nil"/>
              <w:left w:val="nil"/>
              <w:bottom w:val="nil"/>
              <w:right w:val="nil"/>
            </w:tcBorders>
            <w:shd w:val="clear" w:color="auto" w:fill="FFFFFF"/>
            <w:vAlign w:val="center"/>
          </w:tcPr>
          <w:p w14:paraId="01D2326E"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0.042</w:t>
            </w:r>
          </w:p>
        </w:tc>
        <w:tc>
          <w:tcPr>
            <w:tcW w:w="671" w:type="pct"/>
            <w:tcBorders>
              <w:top w:val="nil"/>
              <w:left w:val="nil"/>
              <w:bottom w:val="nil"/>
              <w:right w:val="nil"/>
            </w:tcBorders>
            <w:shd w:val="clear" w:color="auto" w:fill="FFFFFF"/>
            <w:vAlign w:val="center"/>
          </w:tcPr>
          <w:p w14:paraId="77E5686B"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0.0108</w:t>
            </w:r>
          </w:p>
        </w:tc>
        <w:tc>
          <w:tcPr>
            <w:tcW w:w="671" w:type="pct"/>
            <w:tcBorders>
              <w:top w:val="nil"/>
              <w:left w:val="nil"/>
              <w:bottom w:val="nil"/>
              <w:right w:val="nil"/>
            </w:tcBorders>
            <w:shd w:val="clear" w:color="auto" w:fill="FFFFFF"/>
            <w:vAlign w:val="center"/>
          </w:tcPr>
          <w:p w14:paraId="36E3D57F"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0.0814</w:t>
            </w:r>
          </w:p>
        </w:tc>
        <w:tc>
          <w:tcPr>
            <w:tcW w:w="670" w:type="pct"/>
            <w:tcBorders>
              <w:top w:val="nil"/>
              <w:left w:val="nil"/>
              <w:bottom w:val="nil"/>
              <w:right w:val="nil"/>
            </w:tcBorders>
            <w:shd w:val="clear" w:color="auto" w:fill="FFFFFF"/>
            <w:vAlign w:val="center"/>
          </w:tcPr>
          <w:p w14:paraId="5D824705"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0.0178</w:t>
            </w:r>
          </w:p>
        </w:tc>
        <w:tc>
          <w:tcPr>
            <w:tcW w:w="670" w:type="pct"/>
            <w:tcBorders>
              <w:top w:val="nil"/>
              <w:left w:val="nil"/>
              <w:bottom w:val="nil"/>
              <w:right w:val="nil"/>
            </w:tcBorders>
            <w:shd w:val="clear" w:color="auto" w:fill="FFFFFF"/>
            <w:vAlign w:val="center"/>
          </w:tcPr>
          <w:p w14:paraId="69EB7B82"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Full mediation</w:t>
            </w:r>
          </w:p>
        </w:tc>
      </w:tr>
      <w:tr w:rsidR="00147AD9" w14:paraId="1BE8D7B6" w14:textId="77777777">
        <w:trPr>
          <w:trHeight w:val="270"/>
        </w:trPr>
        <w:tc>
          <w:tcPr>
            <w:tcW w:w="820" w:type="pct"/>
            <w:tcBorders>
              <w:top w:val="nil"/>
              <w:left w:val="nil"/>
              <w:bottom w:val="single" w:sz="12" w:space="0" w:color="000000"/>
              <w:right w:val="nil"/>
            </w:tcBorders>
            <w:shd w:val="clear" w:color="auto" w:fill="FFFFFF"/>
            <w:vAlign w:val="center"/>
          </w:tcPr>
          <w:p w14:paraId="0C32C570"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CGC → PC → EGB</w:t>
            </w:r>
          </w:p>
        </w:tc>
        <w:tc>
          <w:tcPr>
            <w:tcW w:w="823" w:type="pct"/>
            <w:tcBorders>
              <w:top w:val="nil"/>
              <w:left w:val="nil"/>
              <w:bottom w:val="single" w:sz="12" w:space="0" w:color="000000"/>
              <w:right w:val="nil"/>
            </w:tcBorders>
            <w:shd w:val="clear" w:color="auto" w:fill="FFFFFF"/>
            <w:vAlign w:val="center"/>
          </w:tcPr>
          <w:p w14:paraId="12CD00BA"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Indirect Effect</w:t>
            </w:r>
          </w:p>
        </w:tc>
        <w:tc>
          <w:tcPr>
            <w:tcW w:w="670" w:type="pct"/>
            <w:tcBorders>
              <w:top w:val="nil"/>
              <w:left w:val="nil"/>
              <w:bottom w:val="single" w:sz="12" w:space="0" w:color="000000"/>
              <w:right w:val="nil"/>
            </w:tcBorders>
            <w:shd w:val="clear" w:color="auto" w:fill="FFFFFF"/>
            <w:vAlign w:val="center"/>
          </w:tcPr>
          <w:p w14:paraId="5DA1AB65"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0.0273</w:t>
            </w:r>
          </w:p>
        </w:tc>
        <w:tc>
          <w:tcPr>
            <w:tcW w:w="671" w:type="pct"/>
            <w:tcBorders>
              <w:top w:val="nil"/>
              <w:left w:val="nil"/>
              <w:bottom w:val="single" w:sz="12" w:space="0" w:color="000000"/>
              <w:right w:val="nil"/>
            </w:tcBorders>
            <w:shd w:val="clear" w:color="auto" w:fill="FFFFFF"/>
            <w:vAlign w:val="center"/>
          </w:tcPr>
          <w:p w14:paraId="1E393B01"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0.0067</w:t>
            </w:r>
          </w:p>
        </w:tc>
        <w:tc>
          <w:tcPr>
            <w:tcW w:w="671" w:type="pct"/>
            <w:tcBorders>
              <w:top w:val="nil"/>
              <w:left w:val="nil"/>
              <w:bottom w:val="single" w:sz="12" w:space="0" w:color="000000"/>
              <w:right w:val="nil"/>
            </w:tcBorders>
            <w:shd w:val="clear" w:color="auto" w:fill="FFFFFF"/>
            <w:vAlign w:val="center"/>
          </w:tcPr>
          <w:p w14:paraId="14994BC4"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0.0543</w:t>
            </w:r>
          </w:p>
        </w:tc>
        <w:tc>
          <w:tcPr>
            <w:tcW w:w="670" w:type="pct"/>
            <w:tcBorders>
              <w:top w:val="nil"/>
              <w:left w:val="nil"/>
              <w:bottom w:val="single" w:sz="12" w:space="0" w:color="000000"/>
              <w:right w:val="nil"/>
            </w:tcBorders>
            <w:shd w:val="clear" w:color="auto" w:fill="FFFFFF"/>
            <w:vAlign w:val="center"/>
          </w:tcPr>
          <w:p w14:paraId="57FC4CBC"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0.0123</w:t>
            </w:r>
          </w:p>
        </w:tc>
        <w:tc>
          <w:tcPr>
            <w:tcW w:w="670" w:type="pct"/>
            <w:tcBorders>
              <w:top w:val="nil"/>
              <w:left w:val="nil"/>
              <w:bottom w:val="single" w:sz="12" w:space="0" w:color="000000"/>
              <w:right w:val="nil"/>
            </w:tcBorders>
            <w:shd w:val="clear" w:color="auto" w:fill="FFFFFF"/>
            <w:vAlign w:val="center"/>
          </w:tcPr>
          <w:p w14:paraId="05189A6C" w14:textId="77777777" w:rsidR="00147AD9" w:rsidRDefault="00000000">
            <w:pPr>
              <w:widowControl/>
              <w:jc w:val="center"/>
              <w:textAlignment w:val="center"/>
              <w:rPr>
                <w:rFonts w:ascii="Times New Roman" w:eastAsia="宋体" w:hAnsi="Times New Roman" w:cs="Times New Roman"/>
                <w:bCs/>
                <w:color w:val="000000"/>
                <w:sz w:val="22"/>
                <w:szCs w:val="22"/>
              </w:rPr>
            </w:pPr>
            <w:r>
              <w:rPr>
                <w:rFonts w:ascii="Times New Roman" w:eastAsia="宋体" w:hAnsi="Times New Roman" w:cs="Times New Roman"/>
                <w:bCs/>
                <w:color w:val="000000"/>
                <w:kern w:val="0"/>
                <w:sz w:val="22"/>
                <w:szCs w:val="22"/>
                <w:lang w:bidi="ar"/>
              </w:rPr>
              <w:t>Full mediation</w:t>
            </w:r>
          </w:p>
        </w:tc>
      </w:tr>
    </w:tbl>
    <w:p w14:paraId="4EA8169E" w14:textId="77777777" w:rsidR="00147AD9" w:rsidRDefault="00147AD9">
      <w:pPr>
        <w:rPr>
          <w:rFonts w:ascii="Times New Roman" w:hAnsi="Times New Roman" w:cs="Times New Roman"/>
          <w:sz w:val="24"/>
        </w:rPr>
      </w:pPr>
    </w:p>
    <w:p w14:paraId="21787967"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4.7 Moderation Analysis</w:t>
      </w:r>
    </w:p>
    <w:p w14:paraId="25D61B44"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As shown in Table 11, the interaction between GL and POS (Int_1) was statistically significant (β = 0.1384, p = 0.0148), with a 95% confidence interval [0.0273, 0.2495], indicating that POS enhances the positive effect of GL on EGB. Conversely, the interaction term for PC and POS (Int_2) did not reach statistical significance (β = 0.007, p = 0.8866; 95% CI [–0.0898, 0.1039]), suggesting that POS does not significantly moderate the relationship between PC and EGB.</w:t>
      </w:r>
    </w:p>
    <w:p w14:paraId="21E0D80C"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The interaction plot in Figure 4 further illustrates the nature of the significant moderating effect. When POS is high, the relationship between GL and EGB is substantially stronger (slope = 0.306) compared to when POS is low (slope = 0.024). This pattern indicates that organizational support serves as a contextual amplifier that increases the behavioral impact of green leadership. Employees who perceive a higher level of organizational support may be more inclined to respond to environmentally focused leadership behaviors by adopting voluntary green practices.</w:t>
      </w:r>
    </w:p>
    <w:p w14:paraId="49CCFDC1" w14:textId="77777777" w:rsidR="00147AD9" w:rsidRDefault="00147AD9">
      <w:pPr>
        <w:rPr>
          <w:rFonts w:ascii="Times New Roman" w:hAnsi="Times New Roman" w:cs="Times New Roman"/>
          <w:sz w:val="24"/>
        </w:rPr>
      </w:pPr>
    </w:p>
    <w:p w14:paraId="582FB432" w14:textId="77777777" w:rsidR="00147AD9" w:rsidRDefault="00000000">
      <w:pPr>
        <w:rPr>
          <w:rFonts w:ascii="Times New Roman" w:hAnsi="Times New Roman" w:cs="Times New Roman"/>
          <w:sz w:val="24"/>
        </w:rPr>
      </w:pPr>
      <w:r>
        <w:rPr>
          <w:rFonts w:ascii="Times New Roman" w:hAnsi="Times New Roman" w:cs="Times New Roman"/>
          <w:sz w:val="24"/>
        </w:rPr>
        <w:t>Table 11  Significance Test Results for Moderation Effects</w:t>
      </w:r>
    </w:p>
    <w:tbl>
      <w:tblPr>
        <w:tblW w:w="4998" w:type="pct"/>
        <w:tblLook w:val="04A0" w:firstRow="1" w:lastRow="0" w:firstColumn="1" w:lastColumn="0" w:noHBand="0" w:noVBand="1"/>
      </w:tblPr>
      <w:tblGrid>
        <w:gridCol w:w="1330"/>
        <w:gridCol w:w="1335"/>
        <w:gridCol w:w="1081"/>
        <w:gridCol w:w="1081"/>
        <w:gridCol w:w="1083"/>
        <w:gridCol w:w="1083"/>
        <w:gridCol w:w="1310"/>
      </w:tblGrid>
      <w:tr w:rsidR="00147AD9" w14:paraId="61201C09" w14:textId="77777777">
        <w:trPr>
          <w:trHeight w:val="270"/>
        </w:trPr>
        <w:tc>
          <w:tcPr>
            <w:tcW w:w="820" w:type="pct"/>
            <w:vMerge w:val="restart"/>
            <w:tcBorders>
              <w:top w:val="single" w:sz="12" w:space="0" w:color="000000"/>
              <w:left w:val="nil"/>
              <w:bottom w:val="single" w:sz="4" w:space="0" w:color="000000"/>
              <w:right w:val="nil"/>
              <w:tl2br w:val="nil"/>
            </w:tcBorders>
            <w:shd w:val="clear" w:color="auto" w:fill="FFFFFF"/>
            <w:vAlign w:val="center"/>
          </w:tcPr>
          <w:p w14:paraId="3920CF43" w14:textId="77777777" w:rsidR="00147AD9" w:rsidRDefault="00000000">
            <w:pPr>
              <w:rPr>
                <w:rFonts w:ascii="Times New Roman" w:hAnsi="Times New Roman" w:cs="Times New Roman"/>
                <w:sz w:val="24"/>
              </w:rPr>
            </w:pPr>
            <w:r>
              <w:rPr>
                <w:rFonts w:ascii="Times New Roman" w:hAnsi="Times New Roman" w:cs="Times New Roman"/>
                <w:sz w:val="24"/>
              </w:rPr>
              <w:lastRenderedPageBreak/>
              <w:t>Moderated Path</w:t>
            </w:r>
          </w:p>
        </w:tc>
        <w:tc>
          <w:tcPr>
            <w:tcW w:w="823" w:type="pct"/>
            <w:vMerge w:val="restart"/>
            <w:tcBorders>
              <w:top w:val="single" w:sz="12" w:space="0" w:color="000000"/>
              <w:left w:val="nil"/>
              <w:bottom w:val="single" w:sz="4" w:space="0" w:color="000000"/>
              <w:right w:val="nil"/>
            </w:tcBorders>
            <w:shd w:val="clear" w:color="auto" w:fill="FFFFFF"/>
            <w:vAlign w:val="center"/>
          </w:tcPr>
          <w:p w14:paraId="3ABC02CD" w14:textId="77777777" w:rsidR="00147AD9" w:rsidRDefault="00000000">
            <w:pPr>
              <w:rPr>
                <w:rFonts w:ascii="Times New Roman" w:hAnsi="Times New Roman" w:cs="Times New Roman"/>
                <w:sz w:val="24"/>
              </w:rPr>
            </w:pPr>
            <w:r>
              <w:rPr>
                <w:rFonts w:ascii="Times New Roman" w:hAnsi="Times New Roman" w:cs="Times New Roman"/>
                <w:sz w:val="24"/>
              </w:rPr>
              <w:t>Interaction Term</w:t>
            </w:r>
          </w:p>
        </w:tc>
        <w:tc>
          <w:tcPr>
            <w:tcW w:w="670" w:type="pct"/>
            <w:vMerge w:val="restart"/>
            <w:tcBorders>
              <w:top w:val="single" w:sz="12" w:space="0" w:color="000000"/>
              <w:left w:val="nil"/>
              <w:bottom w:val="single" w:sz="4" w:space="0" w:color="000000"/>
              <w:right w:val="nil"/>
            </w:tcBorders>
            <w:shd w:val="clear" w:color="auto" w:fill="FFFFFF"/>
            <w:vAlign w:val="center"/>
          </w:tcPr>
          <w:p w14:paraId="59C4348F" w14:textId="77777777" w:rsidR="00147AD9" w:rsidRDefault="00000000">
            <w:pPr>
              <w:rPr>
                <w:rFonts w:ascii="Times New Roman" w:hAnsi="Times New Roman" w:cs="Times New Roman"/>
                <w:sz w:val="24"/>
              </w:rPr>
            </w:pPr>
            <w:r>
              <w:rPr>
                <w:rFonts w:ascii="Times New Roman" w:hAnsi="Times New Roman" w:cs="Times New Roman"/>
                <w:sz w:val="24"/>
              </w:rPr>
              <w:t>Effect Value</w:t>
            </w:r>
          </w:p>
        </w:tc>
        <w:tc>
          <w:tcPr>
            <w:tcW w:w="670" w:type="pct"/>
            <w:vMerge w:val="restart"/>
            <w:tcBorders>
              <w:top w:val="single" w:sz="12" w:space="0" w:color="000000"/>
              <w:left w:val="nil"/>
              <w:bottom w:val="single" w:sz="4" w:space="0" w:color="000000"/>
              <w:right w:val="nil"/>
            </w:tcBorders>
            <w:shd w:val="clear" w:color="auto" w:fill="FFFFFF"/>
            <w:vAlign w:val="center"/>
          </w:tcPr>
          <w:p w14:paraId="572133BB" w14:textId="77777777" w:rsidR="00147AD9" w:rsidRDefault="00000000">
            <w:pPr>
              <w:rPr>
                <w:rFonts w:ascii="Times New Roman" w:hAnsi="Times New Roman" w:cs="Times New Roman"/>
                <w:sz w:val="24"/>
              </w:rPr>
            </w:pPr>
            <w:r>
              <w:rPr>
                <w:rFonts w:ascii="Times New Roman" w:hAnsi="Times New Roman" w:cs="Times New Roman"/>
                <w:sz w:val="24"/>
              </w:rPr>
              <w:t>p-value</w:t>
            </w:r>
          </w:p>
        </w:tc>
        <w:tc>
          <w:tcPr>
            <w:tcW w:w="1342" w:type="pct"/>
            <w:gridSpan w:val="2"/>
            <w:tcBorders>
              <w:top w:val="single" w:sz="12" w:space="0" w:color="000000"/>
              <w:left w:val="nil"/>
              <w:bottom w:val="single" w:sz="4" w:space="0" w:color="000000"/>
              <w:right w:val="nil"/>
            </w:tcBorders>
            <w:shd w:val="clear" w:color="auto" w:fill="FFFFFF"/>
            <w:noWrap/>
            <w:vAlign w:val="center"/>
          </w:tcPr>
          <w:p w14:paraId="2FCA6859" w14:textId="77777777" w:rsidR="00147AD9" w:rsidRDefault="00000000">
            <w:pPr>
              <w:rPr>
                <w:rFonts w:ascii="Times New Roman" w:hAnsi="Times New Roman" w:cs="Times New Roman"/>
                <w:sz w:val="24"/>
              </w:rPr>
            </w:pPr>
            <w:r>
              <w:rPr>
                <w:rFonts w:ascii="Times New Roman" w:hAnsi="Times New Roman" w:cs="Times New Roman"/>
                <w:sz w:val="24"/>
              </w:rPr>
              <w:t>95% CI</w:t>
            </w:r>
          </w:p>
        </w:tc>
        <w:tc>
          <w:tcPr>
            <w:tcW w:w="671" w:type="pct"/>
            <w:vMerge w:val="restart"/>
            <w:tcBorders>
              <w:top w:val="single" w:sz="12" w:space="0" w:color="000000"/>
              <w:left w:val="nil"/>
              <w:bottom w:val="single" w:sz="4" w:space="0" w:color="000000"/>
              <w:right w:val="nil"/>
            </w:tcBorders>
            <w:shd w:val="clear" w:color="auto" w:fill="FFFFFF"/>
            <w:vAlign w:val="center"/>
          </w:tcPr>
          <w:p w14:paraId="0311E8E4" w14:textId="77777777" w:rsidR="00147AD9" w:rsidRDefault="00000000">
            <w:pPr>
              <w:rPr>
                <w:rFonts w:ascii="Times New Roman" w:hAnsi="Times New Roman" w:cs="Times New Roman"/>
                <w:sz w:val="24"/>
              </w:rPr>
            </w:pPr>
            <w:r>
              <w:rPr>
                <w:rFonts w:ascii="Times New Roman" w:hAnsi="Times New Roman" w:cs="Times New Roman"/>
                <w:sz w:val="24"/>
              </w:rPr>
              <w:t>Conclusion</w:t>
            </w:r>
          </w:p>
        </w:tc>
      </w:tr>
      <w:tr w:rsidR="00147AD9" w14:paraId="0422AF35" w14:textId="77777777">
        <w:trPr>
          <w:trHeight w:val="270"/>
        </w:trPr>
        <w:tc>
          <w:tcPr>
            <w:tcW w:w="820" w:type="pct"/>
            <w:vMerge/>
            <w:tcBorders>
              <w:top w:val="single" w:sz="4" w:space="0" w:color="000000"/>
              <w:left w:val="nil"/>
              <w:bottom w:val="nil"/>
              <w:right w:val="nil"/>
            </w:tcBorders>
            <w:shd w:val="clear" w:color="auto" w:fill="FFFFFF"/>
            <w:vAlign w:val="center"/>
          </w:tcPr>
          <w:p w14:paraId="27E081BB" w14:textId="77777777" w:rsidR="00147AD9" w:rsidRDefault="00147AD9">
            <w:pPr>
              <w:rPr>
                <w:rFonts w:ascii="Times New Roman" w:hAnsi="Times New Roman" w:cs="Times New Roman"/>
                <w:sz w:val="24"/>
              </w:rPr>
            </w:pPr>
          </w:p>
        </w:tc>
        <w:tc>
          <w:tcPr>
            <w:tcW w:w="823" w:type="pct"/>
            <w:vMerge/>
            <w:tcBorders>
              <w:top w:val="single" w:sz="4" w:space="0" w:color="000000"/>
              <w:left w:val="nil"/>
              <w:bottom w:val="nil"/>
              <w:right w:val="nil"/>
            </w:tcBorders>
            <w:shd w:val="clear" w:color="auto" w:fill="FFFFFF"/>
            <w:vAlign w:val="center"/>
          </w:tcPr>
          <w:p w14:paraId="6ADDA219" w14:textId="77777777" w:rsidR="00147AD9" w:rsidRDefault="00147AD9">
            <w:pPr>
              <w:rPr>
                <w:rFonts w:ascii="Times New Roman" w:hAnsi="Times New Roman" w:cs="Times New Roman"/>
                <w:sz w:val="24"/>
              </w:rPr>
            </w:pPr>
          </w:p>
        </w:tc>
        <w:tc>
          <w:tcPr>
            <w:tcW w:w="670" w:type="pct"/>
            <w:vMerge/>
            <w:tcBorders>
              <w:top w:val="single" w:sz="4" w:space="0" w:color="000000"/>
              <w:left w:val="nil"/>
              <w:bottom w:val="nil"/>
              <w:right w:val="nil"/>
            </w:tcBorders>
            <w:shd w:val="clear" w:color="auto" w:fill="FFFFFF"/>
            <w:vAlign w:val="center"/>
          </w:tcPr>
          <w:p w14:paraId="53A077A4" w14:textId="77777777" w:rsidR="00147AD9" w:rsidRDefault="00147AD9">
            <w:pPr>
              <w:rPr>
                <w:rFonts w:ascii="Times New Roman" w:hAnsi="Times New Roman" w:cs="Times New Roman"/>
                <w:sz w:val="24"/>
              </w:rPr>
            </w:pPr>
          </w:p>
        </w:tc>
        <w:tc>
          <w:tcPr>
            <w:tcW w:w="670" w:type="pct"/>
            <w:vMerge/>
            <w:tcBorders>
              <w:top w:val="single" w:sz="4" w:space="0" w:color="000000"/>
              <w:left w:val="nil"/>
              <w:bottom w:val="nil"/>
              <w:right w:val="nil"/>
            </w:tcBorders>
            <w:shd w:val="clear" w:color="auto" w:fill="FFFFFF"/>
            <w:vAlign w:val="center"/>
          </w:tcPr>
          <w:p w14:paraId="4E1AB168" w14:textId="77777777" w:rsidR="00147AD9" w:rsidRDefault="00147AD9">
            <w:pPr>
              <w:rPr>
                <w:rFonts w:ascii="Times New Roman" w:hAnsi="Times New Roman" w:cs="Times New Roman"/>
                <w:sz w:val="24"/>
              </w:rPr>
            </w:pPr>
          </w:p>
        </w:tc>
        <w:tc>
          <w:tcPr>
            <w:tcW w:w="671" w:type="pct"/>
            <w:tcBorders>
              <w:top w:val="single" w:sz="4" w:space="0" w:color="000000"/>
              <w:left w:val="nil"/>
              <w:bottom w:val="nil"/>
              <w:right w:val="nil"/>
            </w:tcBorders>
            <w:shd w:val="clear" w:color="auto" w:fill="FFFFFF"/>
            <w:vAlign w:val="center"/>
          </w:tcPr>
          <w:p w14:paraId="7114D305" w14:textId="77777777" w:rsidR="00147AD9" w:rsidRDefault="00000000">
            <w:pPr>
              <w:rPr>
                <w:rFonts w:ascii="Times New Roman" w:hAnsi="Times New Roman" w:cs="Times New Roman"/>
                <w:sz w:val="24"/>
              </w:rPr>
            </w:pPr>
            <w:r>
              <w:rPr>
                <w:rFonts w:ascii="Times New Roman" w:hAnsi="Times New Roman" w:cs="Times New Roman"/>
                <w:sz w:val="24"/>
              </w:rPr>
              <w:t>Lower</w:t>
            </w:r>
          </w:p>
        </w:tc>
        <w:tc>
          <w:tcPr>
            <w:tcW w:w="671" w:type="pct"/>
            <w:tcBorders>
              <w:top w:val="single" w:sz="4" w:space="0" w:color="000000"/>
              <w:left w:val="nil"/>
              <w:bottom w:val="nil"/>
              <w:right w:val="nil"/>
            </w:tcBorders>
            <w:shd w:val="clear" w:color="auto" w:fill="FFFFFF"/>
            <w:vAlign w:val="center"/>
          </w:tcPr>
          <w:p w14:paraId="46F06AC4" w14:textId="77777777" w:rsidR="00147AD9" w:rsidRDefault="00000000">
            <w:pPr>
              <w:rPr>
                <w:rFonts w:ascii="Times New Roman" w:hAnsi="Times New Roman" w:cs="Times New Roman"/>
                <w:sz w:val="24"/>
              </w:rPr>
            </w:pPr>
            <w:r>
              <w:rPr>
                <w:rFonts w:ascii="Times New Roman" w:hAnsi="Times New Roman" w:cs="Times New Roman"/>
                <w:sz w:val="24"/>
              </w:rPr>
              <w:t xml:space="preserve"> Upper</w:t>
            </w:r>
          </w:p>
        </w:tc>
        <w:tc>
          <w:tcPr>
            <w:tcW w:w="671" w:type="pct"/>
            <w:vMerge/>
            <w:tcBorders>
              <w:top w:val="single" w:sz="4" w:space="0" w:color="000000"/>
              <w:left w:val="nil"/>
              <w:bottom w:val="nil"/>
              <w:right w:val="nil"/>
            </w:tcBorders>
            <w:shd w:val="clear" w:color="auto" w:fill="FFFFFF"/>
            <w:vAlign w:val="center"/>
          </w:tcPr>
          <w:p w14:paraId="103CB61A" w14:textId="77777777" w:rsidR="00147AD9" w:rsidRDefault="00147AD9">
            <w:pPr>
              <w:rPr>
                <w:rFonts w:ascii="Times New Roman" w:hAnsi="Times New Roman" w:cs="Times New Roman"/>
                <w:sz w:val="24"/>
              </w:rPr>
            </w:pPr>
          </w:p>
        </w:tc>
      </w:tr>
      <w:tr w:rsidR="00147AD9" w14:paraId="3783510A" w14:textId="77777777">
        <w:trPr>
          <w:trHeight w:val="540"/>
        </w:trPr>
        <w:tc>
          <w:tcPr>
            <w:tcW w:w="820" w:type="pct"/>
            <w:tcBorders>
              <w:top w:val="nil"/>
              <w:left w:val="nil"/>
              <w:bottom w:val="nil"/>
              <w:right w:val="nil"/>
            </w:tcBorders>
            <w:shd w:val="clear" w:color="auto" w:fill="FFFFFF"/>
            <w:vAlign w:val="center"/>
          </w:tcPr>
          <w:p w14:paraId="41A83ABA" w14:textId="77777777" w:rsidR="00147AD9" w:rsidRDefault="00000000">
            <w:pPr>
              <w:rPr>
                <w:rFonts w:ascii="Times New Roman" w:hAnsi="Times New Roman" w:cs="Times New Roman"/>
                <w:sz w:val="24"/>
              </w:rPr>
            </w:pPr>
            <w:r>
              <w:rPr>
                <w:rFonts w:ascii="Times New Roman" w:hAnsi="Times New Roman" w:cs="Times New Roman"/>
                <w:sz w:val="24"/>
              </w:rPr>
              <w:t>GL × POS → EGB</w:t>
            </w:r>
          </w:p>
        </w:tc>
        <w:tc>
          <w:tcPr>
            <w:tcW w:w="823" w:type="pct"/>
            <w:tcBorders>
              <w:top w:val="nil"/>
              <w:left w:val="nil"/>
              <w:bottom w:val="nil"/>
              <w:right w:val="nil"/>
            </w:tcBorders>
            <w:shd w:val="clear" w:color="auto" w:fill="FFFFFF"/>
            <w:vAlign w:val="center"/>
          </w:tcPr>
          <w:p w14:paraId="6DE1CD6E" w14:textId="77777777" w:rsidR="00147AD9" w:rsidRDefault="00000000">
            <w:pPr>
              <w:rPr>
                <w:rFonts w:ascii="Times New Roman" w:hAnsi="Times New Roman" w:cs="Times New Roman"/>
                <w:sz w:val="24"/>
              </w:rPr>
            </w:pPr>
            <w:r>
              <w:rPr>
                <w:rFonts w:ascii="Times New Roman" w:hAnsi="Times New Roman" w:cs="Times New Roman"/>
                <w:sz w:val="24"/>
              </w:rPr>
              <w:t>Int_1</w:t>
            </w:r>
          </w:p>
        </w:tc>
        <w:tc>
          <w:tcPr>
            <w:tcW w:w="670" w:type="pct"/>
            <w:tcBorders>
              <w:top w:val="nil"/>
              <w:left w:val="nil"/>
              <w:bottom w:val="nil"/>
              <w:right w:val="nil"/>
            </w:tcBorders>
            <w:shd w:val="clear" w:color="auto" w:fill="FFFFFF"/>
            <w:vAlign w:val="center"/>
          </w:tcPr>
          <w:p w14:paraId="0A92E954" w14:textId="77777777" w:rsidR="00147AD9" w:rsidRDefault="00000000">
            <w:pPr>
              <w:rPr>
                <w:rFonts w:ascii="Times New Roman" w:hAnsi="Times New Roman" w:cs="Times New Roman"/>
                <w:sz w:val="24"/>
              </w:rPr>
            </w:pPr>
            <w:r>
              <w:rPr>
                <w:rFonts w:ascii="Times New Roman" w:hAnsi="Times New Roman" w:cs="Times New Roman"/>
                <w:sz w:val="24"/>
              </w:rPr>
              <w:t>0.1384</w:t>
            </w:r>
          </w:p>
        </w:tc>
        <w:tc>
          <w:tcPr>
            <w:tcW w:w="670" w:type="pct"/>
            <w:tcBorders>
              <w:top w:val="nil"/>
              <w:left w:val="nil"/>
              <w:bottom w:val="nil"/>
              <w:right w:val="nil"/>
            </w:tcBorders>
            <w:shd w:val="clear" w:color="auto" w:fill="FFFFFF"/>
            <w:vAlign w:val="center"/>
          </w:tcPr>
          <w:p w14:paraId="410DF270" w14:textId="77777777" w:rsidR="00147AD9" w:rsidRDefault="00000000">
            <w:pPr>
              <w:rPr>
                <w:rFonts w:ascii="Times New Roman" w:hAnsi="Times New Roman" w:cs="Times New Roman"/>
                <w:sz w:val="24"/>
              </w:rPr>
            </w:pPr>
            <w:r>
              <w:rPr>
                <w:rFonts w:ascii="Times New Roman" w:hAnsi="Times New Roman" w:cs="Times New Roman"/>
                <w:sz w:val="24"/>
              </w:rPr>
              <w:t>0.0148</w:t>
            </w:r>
          </w:p>
        </w:tc>
        <w:tc>
          <w:tcPr>
            <w:tcW w:w="671" w:type="pct"/>
            <w:tcBorders>
              <w:top w:val="nil"/>
              <w:left w:val="nil"/>
              <w:bottom w:val="nil"/>
              <w:right w:val="nil"/>
            </w:tcBorders>
            <w:shd w:val="clear" w:color="auto" w:fill="FFFFFF"/>
            <w:vAlign w:val="center"/>
          </w:tcPr>
          <w:p w14:paraId="4F1A91FF" w14:textId="77777777" w:rsidR="00147AD9" w:rsidRDefault="00000000">
            <w:pPr>
              <w:rPr>
                <w:rFonts w:ascii="Times New Roman" w:hAnsi="Times New Roman" w:cs="Times New Roman"/>
                <w:sz w:val="24"/>
              </w:rPr>
            </w:pPr>
            <w:r>
              <w:rPr>
                <w:rFonts w:ascii="Times New Roman" w:hAnsi="Times New Roman" w:cs="Times New Roman"/>
                <w:sz w:val="24"/>
              </w:rPr>
              <w:t>0.0273</w:t>
            </w:r>
          </w:p>
        </w:tc>
        <w:tc>
          <w:tcPr>
            <w:tcW w:w="671" w:type="pct"/>
            <w:tcBorders>
              <w:top w:val="nil"/>
              <w:left w:val="nil"/>
              <w:bottom w:val="nil"/>
              <w:right w:val="nil"/>
            </w:tcBorders>
            <w:shd w:val="clear" w:color="auto" w:fill="FFFFFF"/>
            <w:vAlign w:val="center"/>
          </w:tcPr>
          <w:p w14:paraId="495FBF46" w14:textId="77777777" w:rsidR="00147AD9" w:rsidRDefault="00000000">
            <w:pPr>
              <w:rPr>
                <w:rFonts w:ascii="Times New Roman" w:hAnsi="Times New Roman" w:cs="Times New Roman"/>
                <w:sz w:val="24"/>
              </w:rPr>
            </w:pPr>
            <w:r>
              <w:rPr>
                <w:rFonts w:ascii="Times New Roman" w:hAnsi="Times New Roman" w:cs="Times New Roman"/>
                <w:sz w:val="24"/>
              </w:rPr>
              <w:t>0.2495</w:t>
            </w:r>
          </w:p>
        </w:tc>
        <w:tc>
          <w:tcPr>
            <w:tcW w:w="671" w:type="pct"/>
            <w:tcBorders>
              <w:top w:val="nil"/>
              <w:left w:val="nil"/>
              <w:bottom w:val="nil"/>
              <w:right w:val="nil"/>
            </w:tcBorders>
            <w:shd w:val="clear" w:color="auto" w:fill="FFFFFF"/>
            <w:vAlign w:val="center"/>
          </w:tcPr>
          <w:p w14:paraId="7939BFE3" w14:textId="77777777" w:rsidR="00147AD9" w:rsidRDefault="00000000">
            <w:pPr>
              <w:rPr>
                <w:rFonts w:ascii="Times New Roman" w:hAnsi="Times New Roman" w:cs="Times New Roman"/>
                <w:sz w:val="24"/>
              </w:rPr>
            </w:pPr>
            <w:r>
              <w:rPr>
                <w:rFonts w:ascii="Times New Roman" w:hAnsi="Times New Roman" w:cs="Times New Roman"/>
                <w:sz w:val="24"/>
              </w:rPr>
              <w:t>Significant moderation</w:t>
            </w:r>
          </w:p>
        </w:tc>
      </w:tr>
      <w:tr w:rsidR="00147AD9" w14:paraId="0412D4F3" w14:textId="77777777">
        <w:trPr>
          <w:trHeight w:val="540"/>
        </w:trPr>
        <w:tc>
          <w:tcPr>
            <w:tcW w:w="820" w:type="pct"/>
            <w:tcBorders>
              <w:top w:val="nil"/>
              <w:left w:val="nil"/>
              <w:bottom w:val="single" w:sz="12" w:space="0" w:color="000000"/>
              <w:right w:val="nil"/>
            </w:tcBorders>
            <w:shd w:val="clear" w:color="auto" w:fill="FFFFFF"/>
            <w:vAlign w:val="center"/>
          </w:tcPr>
          <w:p w14:paraId="43C8C3ED" w14:textId="77777777" w:rsidR="00147AD9" w:rsidRDefault="00000000">
            <w:pPr>
              <w:rPr>
                <w:rFonts w:ascii="Times New Roman" w:hAnsi="Times New Roman" w:cs="Times New Roman"/>
                <w:sz w:val="24"/>
              </w:rPr>
            </w:pPr>
            <w:r>
              <w:rPr>
                <w:rFonts w:ascii="Times New Roman" w:hAnsi="Times New Roman" w:cs="Times New Roman"/>
                <w:sz w:val="24"/>
              </w:rPr>
              <w:t>PC × POS → EGB</w:t>
            </w:r>
          </w:p>
        </w:tc>
        <w:tc>
          <w:tcPr>
            <w:tcW w:w="823" w:type="pct"/>
            <w:tcBorders>
              <w:top w:val="nil"/>
              <w:left w:val="nil"/>
              <w:bottom w:val="single" w:sz="12" w:space="0" w:color="000000"/>
              <w:right w:val="nil"/>
            </w:tcBorders>
            <w:shd w:val="clear" w:color="auto" w:fill="FFFFFF"/>
            <w:vAlign w:val="center"/>
          </w:tcPr>
          <w:p w14:paraId="08112608" w14:textId="77777777" w:rsidR="00147AD9" w:rsidRDefault="00000000">
            <w:pPr>
              <w:rPr>
                <w:rFonts w:ascii="Times New Roman" w:hAnsi="Times New Roman" w:cs="Times New Roman"/>
                <w:sz w:val="24"/>
              </w:rPr>
            </w:pPr>
            <w:r>
              <w:rPr>
                <w:rFonts w:ascii="Times New Roman" w:hAnsi="Times New Roman" w:cs="Times New Roman"/>
                <w:sz w:val="24"/>
              </w:rPr>
              <w:t>Int_2</w:t>
            </w:r>
          </w:p>
        </w:tc>
        <w:tc>
          <w:tcPr>
            <w:tcW w:w="670" w:type="pct"/>
            <w:tcBorders>
              <w:top w:val="nil"/>
              <w:left w:val="nil"/>
              <w:bottom w:val="single" w:sz="12" w:space="0" w:color="000000"/>
              <w:right w:val="nil"/>
            </w:tcBorders>
            <w:shd w:val="clear" w:color="auto" w:fill="FFFFFF"/>
            <w:vAlign w:val="center"/>
          </w:tcPr>
          <w:p w14:paraId="14ECA699" w14:textId="77777777" w:rsidR="00147AD9" w:rsidRDefault="00000000">
            <w:pPr>
              <w:rPr>
                <w:rFonts w:ascii="Times New Roman" w:hAnsi="Times New Roman" w:cs="Times New Roman"/>
                <w:sz w:val="24"/>
              </w:rPr>
            </w:pPr>
            <w:r>
              <w:rPr>
                <w:rFonts w:ascii="Times New Roman" w:hAnsi="Times New Roman" w:cs="Times New Roman"/>
                <w:sz w:val="24"/>
              </w:rPr>
              <w:t>0.007</w:t>
            </w:r>
          </w:p>
        </w:tc>
        <w:tc>
          <w:tcPr>
            <w:tcW w:w="670" w:type="pct"/>
            <w:tcBorders>
              <w:top w:val="nil"/>
              <w:left w:val="nil"/>
              <w:bottom w:val="single" w:sz="12" w:space="0" w:color="000000"/>
              <w:right w:val="nil"/>
            </w:tcBorders>
            <w:shd w:val="clear" w:color="auto" w:fill="FFFFFF"/>
            <w:vAlign w:val="center"/>
          </w:tcPr>
          <w:p w14:paraId="55BFFD12" w14:textId="77777777" w:rsidR="00147AD9" w:rsidRDefault="00000000">
            <w:pPr>
              <w:rPr>
                <w:rFonts w:ascii="Times New Roman" w:hAnsi="Times New Roman" w:cs="Times New Roman"/>
                <w:sz w:val="24"/>
              </w:rPr>
            </w:pPr>
            <w:r>
              <w:rPr>
                <w:rFonts w:ascii="Times New Roman" w:hAnsi="Times New Roman" w:cs="Times New Roman"/>
                <w:sz w:val="24"/>
              </w:rPr>
              <w:t>0.8866</w:t>
            </w:r>
          </w:p>
        </w:tc>
        <w:tc>
          <w:tcPr>
            <w:tcW w:w="671" w:type="pct"/>
            <w:tcBorders>
              <w:top w:val="nil"/>
              <w:left w:val="nil"/>
              <w:bottom w:val="single" w:sz="12" w:space="0" w:color="000000"/>
              <w:right w:val="nil"/>
            </w:tcBorders>
            <w:shd w:val="clear" w:color="auto" w:fill="FFFFFF"/>
            <w:vAlign w:val="center"/>
          </w:tcPr>
          <w:p w14:paraId="415C6BF0" w14:textId="77777777" w:rsidR="00147AD9" w:rsidRDefault="00000000">
            <w:pPr>
              <w:rPr>
                <w:rFonts w:ascii="Times New Roman" w:hAnsi="Times New Roman" w:cs="Times New Roman"/>
                <w:sz w:val="24"/>
              </w:rPr>
            </w:pPr>
            <w:r>
              <w:rPr>
                <w:rFonts w:ascii="Times New Roman" w:hAnsi="Times New Roman" w:cs="Times New Roman"/>
                <w:sz w:val="24"/>
              </w:rPr>
              <w:t>-0.0898</w:t>
            </w:r>
          </w:p>
        </w:tc>
        <w:tc>
          <w:tcPr>
            <w:tcW w:w="671" w:type="pct"/>
            <w:tcBorders>
              <w:top w:val="nil"/>
              <w:left w:val="nil"/>
              <w:bottom w:val="single" w:sz="12" w:space="0" w:color="000000"/>
              <w:right w:val="nil"/>
            </w:tcBorders>
            <w:shd w:val="clear" w:color="auto" w:fill="FFFFFF"/>
            <w:vAlign w:val="center"/>
          </w:tcPr>
          <w:p w14:paraId="11A5AC35" w14:textId="77777777" w:rsidR="00147AD9" w:rsidRDefault="00000000">
            <w:pPr>
              <w:rPr>
                <w:rFonts w:ascii="Times New Roman" w:hAnsi="Times New Roman" w:cs="Times New Roman"/>
                <w:sz w:val="24"/>
              </w:rPr>
            </w:pPr>
            <w:r>
              <w:rPr>
                <w:rFonts w:ascii="Times New Roman" w:hAnsi="Times New Roman" w:cs="Times New Roman"/>
                <w:sz w:val="24"/>
              </w:rPr>
              <w:t>0.1039</w:t>
            </w:r>
          </w:p>
        </w:tc>
        <w:tc>
          <w:tcPr>
            <w:tcW w:w="671" w:type="pct"/>
            <w:tcBorders>
              <w:top w:val="nil"/>
              <w:left w:val="nil"/>
              <w:bottom w:val="single" w:sz="12" w:space="0" w:color="000000"/>
              <w:right w:val="nil"/>
            </w:tcBorders>
            <w:shd w:val="clear" w:color="auto" w:fill="FFFFFF"/>
            <w:vAlign w:val="center"/>
          </w:tcPr>
          <w:p w14:paraId="1BCC34D0" w14:textId="77777777" w:rsidR="00147AD9" w:rsidRDefault="00000000">
            <w:pPr>
              <w:rPr>
                <w:rFonts w:ascii="Times New Roman" w:hAnsi="Times New Roman" w:cs="Times New Roman"/>
                <w:sz w:val="24"/>
              </w:rPr>
            </w:pPr>
            <w:r>
              <w:rPr>
                <w:rFonts w:ascii="Times New Roman" w:hAnsi="Times New Roman" w:cs="Times New Roman"/>
                <w:sz w:val="24"/>
              </w:rPr>
              <w:t>Non-significant moderation</w:t>
            </w:r>
          </w:p>
        </w:tc>
      </w:tr>
    </w:tbl>
    <w:p w14:paraId="61802965" w14:textId="77777777" w:rsidR="00147AD9" w:rsidRDefault="00147AD9">
      <w:pPr>
        <w:rPr>
          <w:rFonts w:ascii="Times New Roman" w:hAnsi="Times New Roman" w:cs="Times New Roman"/>
          <w:sz w:val="24"/>
        </w:rPr>
      </w:pPr>
    </w:p>
    <w:p w14:paraId="0CC0ED99" w14:textId="77777777" w:rsidR="00147AD9" w:rsidRDefault="00000000">
      <w:pPr>
        <w:jc w:val="center"/>
        <w:rPr>
          <w:rFonts w:ascii="Times New Roman" w:hAnsi="Times New Roman" w:cs="Times New Roman"/>
          <w:sz w:val="24"/>
        </w:rPr>
      </w:pPr>
      <w:r>
        <w:rPr>
          <w:rFonts w:ascii="Times New Roman" w:hAnsi="Times New Roman" w:cs="Times New Roman"/>
          <w:noProof/>
          <w:sz w:val="24"/>
        </w:rPr>
        <w:drawing>
          <wp:inline distT="0" distB="0" distL="114300" distR="114300" wp14:anchorId="0834474C" wp14:editId="589FD1E6">
            <wp:extent cx="4421505" cy="3133090"/>
            <wp:effectExtent l="9525" t="9525" r="17145" b="10160"/>
            <wp:docPr id="3" name="图片 3" descr="调节效应斜率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调节效应斜率图"/>
                    <pic:cNvPicPr>
                      <a:picLocks noChangeAspect="1"/>
                    </pic:cNvPicPr>
                  </pic:nvPicPr>
                  <pic:blipFill>
                    <a:blip r:embed="rId8"/>
                    <a:stretch>
                      <a:fillRect/>
                    </a:stretch>
                  </pic:blipFill>
                  <pic:spPr>
                    <a:xfrm>
                      <a:off x="0" y="0"/>
                      <a:ext cx="4421505" cy="3133090"/>
                    </a:xfrm>
                    <a:prstGeom prst="rect">
                      <a:avLst/>
                    </a:prstGeom>
                    <a:ln>
                      <a:solidFill>
                        <a:schemeClr val="bg2"/>
                      </a:solidFill>
                    </a:ln>
                  </pic:spPr>
                </pic:pic>
              </a:graphicData>
            </a:graphic>
          </wp:inline>
        </w:drawing>
      </w:r>
    </w:p>
    <w:p w14:paraId="6067BB41" w14:textId="77777777" w:rsidR="00147AD9" w:rsidRDefault="00147AD9">
      <w:pPr>
        <w:rPr>
          <w:rFonts w:ascii="Times New Roman" w:hAnsi="Times New Roman" w:cs="Times New Roman"/>
          <w:sz w:val="24"/>
        </w:rPr>
      </w:pPr>
    </w:p>
    <w:p w14:paraId="0687A10E" w14:textId="77777777" w:rsidR="00147AD9" w:rsidRDefault="00000000">
      <w:pPr>
        <w:jc w:val="center"/>
        <w:rPr>
          <w:rFonts w:ascii="Times New Roman" w:hAnsi="Times New Roman" w:cs="Times New Roman"/>
          <w:sz w:val="24"/>
        </w:rPr>
      </w:pPr>
      <w:r>
        <w:rPr>
          <w:rFonts w:ascii="Times New Roman" w:hAnsi="Times New Roman" w:cs="Times New Roman"/>
          <w:sz w:val="24"/>
        </w:rPr>
        <w:t>Figure 4. Moderating Effect of POS on the Relationship Between GL and EGB</w:t>
      </w:r>
    </w:p>
    <w:p w14:paraId="1C3A53E7" w14:textId="77777777" w:rsidR="00147AD9" w:rsidRDefault="00147AD9">
      <w:pPr>
        <w:rPr>
          <w:rFonts w:ascii="Times New Roman" w:hAnsi="Times New Roman" w:cs="Times New Roman"/>
          <w:sz w:val="24"/>
        </w:rPr>
      </w:pPr>
    </w:p>
    <w:p w14:paraId="04B19924" w14:textId="77777777" w:rsidR="00147AD9" w:rsidRDefault="00000000">
      <w:pPr>
        <w:spacing w:afterLines="50" w:after="156"/>
        <w:rPr>
          <w:rFonts w:ascii="Times New Roman" w:hAnsi="Times New Roman" w:cs="Times New Roman"/>
          <w:b/>
          <w:bCs/>
          <w:sz w:val="24"/>
        </w:rPr>
      </w:pPr>
      <w:r>
        <w:rPr>
          <w:rFonts w:ascii="Times New Roman" w:hAnsi="Times New Roman" w:cs="Times New Roman"/>
          <w:b/>
          <w:bCs/>
          <w:sz w:val="24"/>
        </w:rPr>
        <w:t>5. Discussion</w:t>
      </w:r>
    </w:p>
    <w:p w14:paraId="2C4CB3D9"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This study advances understanding of how corporate green culture fosters employee green behavior by identifying green leadership and psychological contract as dual mediators and examining the contingent role of perceived organizational support. The empirical evidence supports a layered influence process, one that integrates cultural, relational, and psychological dimensions to explain environmentally responsible behavior at work.</w:t>
      </w:r>
    </w:p>
    <w:p w14:paraId="159C6766"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The significant direct effect of corporate green culture on employee green behavior supports the view that organizational culture functions not only as a backdrop but as an active driver of normative behavior. Green culture conveys shared values and behavioral expectations that reduce ambiguity about environmental priorities. This is consistent with findings by Mirahsani et al. (2024) and Yu &amp; Li (2024), who show that green culture shapes behavioral norms through internalization and peer influence. Unlike externally imposed rules, cultural cues operate through subtle mechanisms of social reinforcement and collective meaning-making, offering a durable basis for environmental conduct.</w:t>
      </w:r>
    </w:p>
    <w:p w14:paraId="2C37662F"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 xml:space="preserve">Green leadership emerged as a critical conduit through which culture exerts its </w:t>
      </w:r>
      <w:r>
        <w:rPr>
          <w:rFonts w:ascii="Times New Roman" w:hAnsi="Times New Roman" w:cs="Times New Roman"/>
          <w:sz w:val="24"/>
        </w:rPr>
        <w:lastRenderedPageBreak/>
        <w:t>influence. Leaders aligned with organizational green values serve as agents of value translation, transforming abstract principles into concrete expectations and practices. This finding echoes Elshaer et al. (2024) and Javed et al. (2024), who emphasize the role of green transformational leadership in bridging strategic intent and employee engagement. What is particularly notable in the current study is the magnitude and significance of this mediation path, suggesting that leadership not only reflects culture but amplifies it when combined with individualized guidance and vision. The presence of leadership as a mediator supports Bandura’s (2001) social cognitive theory, underscoring that individuals adopt modeled behavior when contextual reinforcement is perceived as authentic and consistent.</w:t>
      </w:r>
    </w:p>
    <w:p w14:paraId="6457E067"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In parallel, the mediating role of psychological contract reveals a more internalized channel of influence. Employees exposed to a green culture appear to construct cognitive frameworks of mutual obligation, perceiving that the organization expects and values pro-environmental contributions. This aligns with Arslan et al. (2025) and Zhang et al. (2025), who demonstrate that psychological contracts are sensitive to moral and ethical dimensions of organizational behavior. Unlike leadership influence, which is socially situated and interactional, psychological contracts are shaped by belief systems about fairness, responsibility, and shared goals. They are slower to form but potentially more resilient, particularly when built on sustained cultural exposure.</w:t>
      </w:r>
    </w:p>
    <w:p w14:paraId="1A48CCA0"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The moderation results offer critical insights into the boundary conditions of these mechanisms. Perceived organizational support significantly strengthened the GL–EGB link but had no effect on the PC–EGB path. This divergence suggests that relational mechanisms, such as leadership influence, are context-sensitive and function more effectively when reinforced by structural signals of support. Gazi et al. (2025) similarly found that POS operates as a credibility enhancer: when employees perceive that the organization supports environmental priorities, leadership signals are viewed as authentic rather than symbolic. Conversely, the lack of moderation in the psychological contract path implies that cognitive-emotional commitments may be less responsive to situational reinforcements. Once formed, psychological contracts appear to guide behavior independently of temporary perceptions of support.</w:t>
      </w:r>
    </w:p>
    <w:p w14:paraId="75DEDD9B"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This asymmetry raises an important theoretical consideration: behavioral pathways in sustainability contexts are not uniformly elastic. Relational mechanisms are responsive to reinforcement, but cognitive commitments may exhibit stability once triggered by long-term cultural cues. This finding challenges the assumption in some prior studies that POS universally enhances all pro-environmental intentions (e.g., Rubel et al., 2025). Instead, the moderating role of POS may be selective, contingent on the nature of the mediating process—relational or cognitive.</w:t>
      </w:r>
    </w:p>
    <w:p w14:paraId="01E86817"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 xml:space="preserve">Moreover, the dual-mediator structure suggests that interventions targeting only leadership or only belief systems may be insufficient. Rather, the combined influence of external modeling and internal cognition yields a more comprehensive behavioral outcome. This aligns with recent calls for integrative frameworks that move beyond </w:t>
      </w:r>
      <w:r>
        <w:rPr>
          <w:rFonts w:ascii="Times New Roman" w:hAnsi="Times New Roman" w:cs="Times New Roman"/>
          <w:sz w:val="24"/>
        </w:rPr>
        <w:lastRenderedPageBreak/>
        <w:t>single-source explanations of green behavior (Ahmed et al., 2024; Amrutha &amp; Geetha, 2024).</w:t>
      </w:r>
    </w:p>
    <w:p w14:paraId="4BEDF9AB" w14:textId="77777777" w:rsidR="00147AD9" w:rsidRDefault="00147AD9">
      <w:pPr>
        <w:spacing w:afterLines="50" w:after="156"/>
        <w:rPr>
          <w:rFonts w:ascii="Times New Roman" w:hAnsi="Times New Roman" w:cs="Times New Roman"/>
          <w:sz w:val="24"/>
        </w:rPr>
      </w:pPr>
    </w:p>
    <w:p w14:paraId="039001A0" w14:textId="77777777" w:rsidR="00147AD9" w:rsidRDefault="00000000">
      <w:pPr>
        <w:spacing w:afterLines="50" w:after="156"/>
        <w:rPr>
          <w:rFonts w:ascii="Times New Roman" w:hAnsi="Times New Roman" w:cs="Times New Roman"/>
          <w:b/>
          <w:bCs/>
          <w:sz w:val="24"/>
        </w:rPr>
      </w:pPr>
      <w:r>
        <w:rPr>
          <w:rFonts w:ascii="Times New Roman" w:hAnsi="Times New Roman" w:cs="Times New Roman"/>
          <w:b/>
          <w:bCs/>
          <w:sz w:val="24"/>
        </w:rPr>
        <w:t>6. Conclusion</w:t>
      </w:r>
    </w:p>
    <w:p w14:paraId="469AFBD7"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This study contributes to the understanding of how corporate green culture (CGC) translates into employee green behavior (EGB) by advancing an integrated model grounded in Social Exchange Theory (SET), augmented by Social Learning Theory and Organizational Support Theory. The empirical findings confirm that CGC exerts a significant positive influence on EGB, not through a direct pathway alone, but more critically through two complementary psychological and relational mechanisms: green transformational leadership (GTL) and psychological contract (PC). Furthermore, the effectiveness of these mediating pathways is contingent on the level of perceived organizational support (POS), which conditions employees’ interpretive and motivational responses.</w:t>
      </w:r>
    </w:p>
    <w:p w14:paraId="42BC4118"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From a social exchange perspective, CGC represents an organizational investment in sustainability values and structures, which employees interpret as a meaningful offering. In turn, this perceived organizational contribution elicits reciprocal pro-environmental behaviors, a dynamic that is central to SET (Blau, 1964). However, this study extends conventional SET applications by showing that the exchange process is not merely transactional, but also mediated by how employees cognitively and socially internalize environmental expectations.</w:t>
      </w:r>
    </w:p>
    <w:p w14:paraId="4B1A1554"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Specifically, GTL acts as a behavioral conduit through which cultural values are modeled and legitimized. Drawing from Social Learning Theory (Bandura, 2001), employees are more likely to emulate green behaviors when they observe leaders consistently demonstrating pro-environmental conduct, articulating ecological visions, and reinforcing green norms. GTL thus enhances the visibility and credibility of CGC, making it actionable at the individual level.</w:t>
      </w:r>
    </w:p>
    <w:p w14:paraId="42B108AA"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Simultaneously, the psychological contract reflects a cognitive-affective sense of obligation that employees develop when organizational signals align with their personal environmental values. In line with SET, the perception of implicit commitments from the organization fosters a sense of moral reciprocity, prompting employees to contribute beyond formal job requirements through sustainable actions. This internalized commitment forms a powerful motivational resource in translating cultural values into discretionary behavior.</w:t>
      </w:r>
    </w:p>
    <w:p w14:paraId="1CA630BC"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Importantly, the study identifies POS as a contextual moderator that shapes the salience and efficacy of both GTL and PC pathways. High POS strengthens the legitimacy of leadership behaviors and reinforces employees’ belief that their environmental efforts are supported and valued. Conversely, in low POS environments, leadership and psychological mechanisms may fail to translate into behavioral outcomes, as employees perceive a disconnect between rhetoric and actual organizational commitment.</w:t>
      </w:r>
    </w:p>
    <w:p w14:paraId="2EA86102"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lastRenderedPageBreak/>
        <w:t>By proposing and validating a moderated dual mediation model, this research addresses significant theoretical gaps in the literature. It moves beyond fragmented perspectives by integrating cultural, relational, and psychological constructs into a unified framework, offering a multilevel, process-oriented understanding of how green behaviors are cultivated within organizations. The findings underscore the importance of not only building a strong green culture, but also ensuring that it is consistently enacted through leadership, internalized via psychological contracts, and supported by organizational systems perceived as credible and responsive.</w:t>
      </w:r>
    </w:p>
    <w:p w14:paraId="0C9E52DC"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This study thereby enriches the literature on environmental behavior by advancing a more nuanced application of SET, demonstrating that employee green behavior is a function of exchange relationships embedded in cultural contexts, enacted through leadership, and interpreted through both individual cognition and perceived organizational support. Future theoretical and empirical efforts should continue to explore the interplay among these dimensions across varied organizational and cultural settings.</w:t>
      </w:r>
    </w:p>
    <w:p w14:paraId="30DD8030" w14:textId="77777777" w:rsidR="00147AD9" w:rsidRDefault="00000000">
      <w:pPr>
        <w:spacing w:afterLines="50" w:after="156"/>
        <w:rPr>
          <w:rFonts w:ascii="Times New Roman" w:hAnsi="Times New Roman" w:cs="Times New Roman"/>
          <w:b/>
          <w:bCs/>
          <w:sz w:val="24"/>
        </w:rPr>
      </w:pPr>
      <w:r>
        <w:rPr>
          <w:rFonts w:ascii="Times New Roman" w:hAnsi="Times New Roman" w:cs="Times New Roman"/>
          <w:b/>
          <w:bCs/>
          <w:sz w:val="24"/>
        </w:rPr>
        <w:t>7. Limitations and Future Research Directions</w:t>
      </w:r>
    </w:p>
    <w:p w14:paraId="3C8B891B"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This study provides new insights into the mechanisms by which corporate green culture influences employee green behavior; however, certain limitations should be acknowledged to contextualize the findings and inspire future research.</w:t>
      </w:r>
    </w:p>
    <w:p w14:paraId="50179837"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The conceptual model, while comprehensive, represents a selective snapshot of the broader set of processes that underlie employee environmental behavior. Organizational phenomena such as green identity formation, value congruence, or perceived organizational legitimacy were not considered, yet may interact meaningfully with the mediators and moderator examined here. Future studies could enrich the model by integrating these or other psychological and contextual constructs.</w:t>
      </w:r>
    </w:p>
    <w:p w14:paraId="343753CB"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Additionally, the findings are shaped by the specific cultural and industrial contexts in which the data were collected. Interpretations of leadership, support, and environmental responsibility may vary across national cultures or institutional environments. Expanding the analysis to more diverse settings would provide greater theoretical generalizability and reveal potential boundary conditions.</w:t>
      </w:r>
    </w:p>
    <w:p w14:paraId="4996561B"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Another limitation lies in the unidimensional treatment of constructs such as perceived organizational support or green culture, which may have multidimensional structures. Future research could adopt more nuanced measurement models to capture the complexity of these constructs and explore how their subdimensions differentially affect behavioral outcomes.</w:t>
      </w:r>
    </w:p>
    <w:p w14:paraId="27722EF7"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t>The current study focused on individual-level outcomes. Integrating team- or organizational-level effects—such as green innovation, cross-level leadership influences, or sustainability performance—would help bridge the micro-macro divide in sustainability scholarship and offer a more systemic understanding of how environmental values diffuse within organizations.</w:t>
      </w:r>
    </w:p>
    <w:p w14:paraId="62807572" w14:textId="77777777" w:rsidR="00147AD9" w:rsidRDefault="00000000">
      <w:pPr>
        <w:spacing w:afterLines="50" w:after="156"/>
        <w:rPr>
          <w:rFonts w:ascii="Times New Roman" w:hAnsi="Times New Roman" w:cs="Times New Roman"/>
          <w:sz w:val="24"/>
        </w:rPr>
      </w:pPr>
      <w:r>
        <w:rPr>
          <w:rFonts w:ascii="Times New Roman" w:hAnsi="Times New Roman" w:cs="Times New Roman"/>
          <w:sz w:val="24"/>
        </w:rPr>
        <w:lastRenderedPageBreak/>
        <w:t>Building on these insights, future research can further refine the relational and cognitive mechanisms explored here, and examine how they operate under different leadership styles, organizational climates, and external stakeholder pressures. Such work will be crucial to advancing a more dynamic, context-sensitive theory of organizational green behavior.</w:t>
      </w:r>
    </w:p>
    <w:p w14:paraId="75268DB2" w14:textId="77777777" w:rsidR="00147AD9" w:rsidRDefault="00147AD9">
      <w:pPr>
        <w:rPr>
          <w:rFonts w:ascii="Times New Roman" w:hAnsi="Times New Roman" w:cs="Times New Roman"/>
          <w:sz w:val="24"/>
        </w:rPr>
      </w:pPr>
    </w:p>
    <w:p w14:paraId="6316EC75" w14:textId="77777777" w:rsidR="00147AD9" w:rsidRDefault="00000000">
      <w:pPr>
        <w:rPr>
          <w:rFonts w:ascii="Times New Roman" w:hAnsi="Times New Roman" w:cs="Times New Roman"/>
          <w:b/>
          <w:bCs/>
          <w:sz w:val="24"/>
        </w:rPr>
      </w:pPr>
      <w:r>
        <w:rPr>
          <w:rFonts w:ascii="Times New Roman" w:hAnsi="Times New Roman" w:cs="Times New Roman"/>
          <w:b/>
          <w:bCs/>
          <w:sz w:val="24"/>
        </w:rPr>
        <w:t>References</w:t>
      </w:r>
    </w:p>
    <w:p w14:paraId="017A3C05" w14:textId="77777777" w:rsidR="00147AD9" w:rsidRDefault="00147AD9">
      <w:pPr>
        <w:rPr>
          <w:rFonts w:ascii="Times New Roman" w:hAnsi="Times New Roman" w:cs="Times New Roman"/>
          <w:sz w:val="24"/>
        </w:rPr>
      </w:pPr>
    </w:p>
    <w:p w14:paraId="495D346D"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Elshaer, I. A., Azazz, A. M., Semlali, Y., Mansour, M. A., Elziny, M. N., &amp; Fayyad, S. (2024). The Nexus between green transformational leadership, employee behavior, and organizational support in the hospitality industry. Administrative Sciences, 14(6), 107.</w:t>
      </w:r>
    </w:p>
    <w:p w14:paraId="17B124AD"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Rubel, M. R. B., Kee, D. M. H., &amp; Rimi, N. N. (2025). Unpacking the eco-friendly path: exploring organizational green initiatives, green perceived organizational support and employee green behavior. International Journal of Contemporary Hospitality Management, 37(6), 2049-2071.</w:t>
      </w:r>
    </w:p>
    <w:p w14:paraId="01D8AF15"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Mirahsani, N., Azizan, O., Shahriari, M., Rexhepi, G., &amp; Najmi, A. (2024). Green culture toward employee green behavior; the mediation roles of perceived support and green identity. Environment, Development and Sustainability, 26(6), 16149-16172.</w:t>
      </w:r>
    </w:p>
    <w:p w14:paraId="70C16EE0"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Abualigah, A., Badar, K., Nisar, Q. A., &amp; Karatepe, O. M. (2024). A moderated mediation model of green human resource management. The Service Industries Journal, 44(7-8), 457-479.</w:t>
      </w:r>
    </w:p>
    <w:p w14:paraId="47C774B3"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Javed, M., Nisar, Q. A., Awan, A., &amp; Nasir, U. (2024). Environmentally specific servant leadership and workplace pro-environmental behavior: A dual mediation in context of hotel industry. Journal of Cleaner Production, 446, 141095.</w:t>
      </w:r>
    </w:p>
    <w:p w14:paraId="49D4C208"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Amrutha, V. N., &amp; Geetha, S. N. (2024). Green employee empowerment for environmental organization citizenship behavior: a moderated parallel mediation model. Current Psychology, 43(6), 5685-5702.</w:t>
      </w:r>
    </w:p>
    <w:p w14:paraId="02247FEE"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Liu, Z., Guo, Y., Zhang, M., &amp; Ma, G. (2024). Can green human resource management promote employee green advocacy? The mediating role of green passion and the moderating role of supervisory support for the environment. The InTernaTIonal Journal of human resource managemenT, 35(1), 121-153.</w:t>
      </w:r>
    </w:p>
    <w:p w14:paraId="4D4C8AD4"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Ahmed, Z., Khosa, M., Nguyen, N. T., Faqera, A. F. O., Ibikunle, A. K., &amp; Raza, S. (2024). Double-edged sword effects of green HRM on employee organizational citizenship behavior for the environment: interactive effects and mediation mechanisms. Business Process Management Journal, 30(5), 1369-1398.</w:t>
      </w:r>
    </w:p>
    <w:p w14:paraId="0C76B7CB"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Şengüllendi, M. F., Bilgetürk, M., &amp; Afacan Fındıklı, M. (2024). Ethical leadership and green innovation: the mediating role of green organizational culture. Journal of Environmental Planning and Management, 67(8), 1702-1723.</w:t>
      </w:r>
    </w:p>
    <w:p w14:paraId="4175A9E2"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Şengüllendi, M. F., Bilgetürk, M., &amp; Afacan Fındıklı, M. (2024). Ethical leadership and green innovation: the mediating role of green organizational culture. Journal of Environmental Planning and Management, 67(8), 1702-1723.</w:t>
      </w:r>
    </w:p>
    <w:p w14:paraId="5A031359"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lastRenderedPageBreak/>
        <w:t>Arslan, S., Do, H., &amp; Ekmekcioglu, E. B. (2025). How and when CSR shapes employees’ environmental behavior: the role of psychological contract and environmental attitudes. Journal of Managerial Psychology.</w:t>
      </w:r>
    </w:p>
    <w:p w14:paraId="430A2BC7"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Wang, H., Zhang, L., &amp; Wang, F. (2024). The effect of paternalistic leadership on employee green behavior: the mediating role of organization-based self-esteem. Current Psychology, 43(23), 20336-20354.</w:t>
      </w:r>
    </w:p>
    <w:p w14:paraId="783E4117"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Gazi, M. A. I., Hossain, M. M., Islam, S., Al Masud, A., Amin, M. B., Senathirajah, A. R. B. S., &amp; Abdullah, M. (2025). Effect of corporate social responsibility on sustainable environmental performance: mediating effects of green capability and green transformational leadership; moderating effects of top management environmental concern and perceived organizational support. Environment, Development and Sustainability, 1-34.</w:t>
      </w:r>
    </w:p>
    <w:p w14:paraId="0753FA5B"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Gazi, M. A. I., Hossain, M. M., Islam, S., Al Masud, A., Amin, M. B., Senathirajah, A. R. B. S., &amp; Abdullah, M. (2025). Effect of corporate social responsibility on sustainable environmental performance: mediating effects of green capability and green transformational leadership; moderating effects of top management environmental concern and perceived organizational support. Environment, Development and Sustainability, 1-34.</w:t>
      </w:r>
    </w:p>
    <w:p w14:paraId="3BB83739"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Khattak, M. A., Rehman, Z. U., &amp; Hashmi, S. H. (2024). Role of empowering leadership in inducing employee green creative behavior in hotel and restaurant industry: a moderated-moderated mediation model. Environment, development and sustainability, 26(3), 7547-7578.</w:t>
      </w:r>
    </w:p>
    <w:p w14:paraId="252B4818"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Luo, J., Ng, L. P., &amp; Choong, Y. O. (2025). The effect of responsible leadership on organizational citizenship behavior: double mediation of gratitude and organizational identification. BMC psychology, 13(1), 6.</w:t>
      </w:r>
    </w:p>
    <w:p w14:paraId="08799804"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Al-Alawneh, R., Othman, M., &amp; Zaid, A. A. (2024). Green HRM impact on environmental performance in higher education with mediating roles of management support and green culture. International Journal of Organizational Analysis, 32(6), 1141-1164.</w:t>
      </w:r>
    </w:p>
    <w:p w14:paraId="3BC97605"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Li, C., Abredu, P., Kwasi Sampene, A., &amp; Oteng Agyeman, F. (2025). Does Green Human Resource Management Stimulate Employees’ Green Behavior Through a Green Psychological Climate?. SAGE Open, 15(1), 21582440241279274.</w:t>
      </w:r>
    </w:p>
    <w:p w14:paraId="3AC169DF"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Su, F., &amp; Hu, L. (2024). Promoting or hindering? Research on the double-edged sword effect of responsible leadership on employee green behavior. Open Journal of Social Sciences, 12(2), 274-296.</w:t>
      </w:r>
    </w:p>
    <w:p w14:paraId="29075180"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Zhang, C., Xu, J., &amp; Liu, L. (2025). Shared leadership and employee creative deviance: psychological contract and felt obligation. Management Decision.</w:t>
      </w:r>
    </w:p>
    <w:p w14:paraId="18CE6BE7"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Yu, H., &amp; Li, Z. (2024). Organizational green culture and employees’ green behavior: a moderated mediation model with employees’ environmental awareness and organizational disseminative capacity. The Service Industries Journal, 1-23.</w:t>
      </w:r>
    </w:p>
    <w:p w14:paraId="420E2C93"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 xml:space="preserve">Asante, K. (2024). Hotels’ green leadership and employee pro-environmental behaviour, the role of value congruence and moral consciousness: evidence from symmetrical and asymmetrical approaches. Journal of Sustainable tourism, 32(7), </w:t>
      </w:r>
      <w:r>
        <w:rPr>
          <w:rFonts w:ascii="Times New Roman" w:hAnsi="Times New Roman" w:cs="Times New Roman"/>
          <w:sz w:val="24"/>
        </w:rPr>
        <w:lastRenderedPageBreak/>
        <w:t>1370-1391.</w:t>
      </w:r>
    </w:p>
    <w:p w14:paraId="34D0CAF6"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Asante, K. (2024). Hotels’ green leadership and employee pro-environmental behaviour, the role of value congruence and moral consciousness: evidence from symmetrical and asymmetrical approaches. Journal of Sustainable tourism, 32(7), 1370-1391.</w:t>
      </w:r>
    </w:p>
    <w:p w14:paraId="490704C0"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Farrukh, M., Rafiq, M., Raza, A., &amp; Iqbal, S. (2024). Beyond the surface: understanding the mechanism between green HR practices and employees’ green creative behavior through mixed-methods exploration. Journal of Hospitality and Tourism Insights, 7(5), 3055-3072.</w:t>
      </w:r>
    </w:p>
    <w:p w14:paraId="2D4E1B3C"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Soomro, S. A., &amp; Soomro, S. A. (2024). Green intellectual capital and employee environmental citizenship behavior: the mediating role of organizational agility and green creativity. Journal of Intellectual Capital, 25(4), 822-840.</w:t>
      </w:r>
    </w:p>
    <w:p w14:paraId="28778C56"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Rogozińska-Pawełczyk, A. (2024). What contributes to the greening of the Polish energy industry? Pro-environmental inclusive leadership and pro-environmental behavior—a moderation–mediation analysis. Energies, 17(17), 4337.</w:t>
      </w:r>
    </w:p>
    <w:p w14:paraId="0D4F9A49"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Kim, B. J., Kim, M. J., &amp; Lee, J. (2024). Code green: ethical leadership’s role in reconciling AI-induced job insecurity with pro-environmental behavior in the digital workplace. Humanities and Social Sciences Communications, 11(1), 1-16.</w:t>
      </w:r>
    </w:p>
    <w:p w14:paraId="41DE8A3B"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Yang, J., Yu, T., &amp; Li, A. (2024). How does mindful leadership promote employee green behavior? The moderating role of green human resource management. Corporate Social Responsibility and Environmental Management, 31(6), 5296-5310.</w:t>
      </w:r>
    </w:p>
    <w:p w14:paraId="1169DD9E"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Patwary, A. K., Rasoolimanesh, S. M., Hanafiah, M. H., Aziz, R. C., Mohamed, A. E., Ashraf, M. U., &amp; Azam, N. R. A. N. (2024). Empowering pro-environmental potential among hotel employees: insights from self-determination theory. Journal of Hospitality and Tourism Insights, 7(2), 1070-1090.</w:t>
      </w:r>
    </w:p>
    <w:p w14:paraId="2567A442"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Zhou, B., &amp; Zhang, S. (2025). How does green psychological climate improve voluntary workplace green behavior? A moderated mediation model centered on green satisfaction. Journal of Environmental Management, 373, 123925.</w:t>
      </w:r>
    </w:p>
    <w:p w14:paraId="141531C0"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Noor Faezah, J., Yusliza, M. Y., Ramayah, T., Jabbour, C. J. C., &amp; Kot, S. (2024). Green human resource management and employee ecological behaviour: Testing green culture and green satisfaction as parallel mediators in Malaysian higher education. Corporate Social Responsibility and Environmental Management, 31(5), 4280-4297.</w:t>
      </w:r>
    </w:p>
    <w:p w14:paraId="0C2247F4"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Zhang, X., Panatik, S. A., &amp; Zhang, N. (2024). Employee green behavior: Bibliometric-content analysis. Heliyon.</w:t>
      </w:r>
    </w:p>
    <w:p w14:paraId="1A2F0DC5"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Aycan, Z., Cinli, D., &amp; Robertson, J. L. (2025). Green leadership’s predictors and outcomes. Nature Reviews Psychology, 1-15.</w:t>
      </w:r>
    </w:p>
    <w:p w14:paraId="1A3005E7"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Owusu, E. A., Zhou, L., Sarpong, F. A., Sampene, A. K., Antwi, H. A., Arboh, F., ... &amp; Yunus, A. (2025). Exploring the Impact of Green Performance on Employees' Pro‐Environmental Behaviors: A Multi‐Group Analysis From Developed and Emerging Economies Healthcare Industries. Business Strategy and the Environment.</w:t>
      </w:r>
    </w:p>
    <w:p w14:paraId="3F5F1F66"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 xml:space="preserve">Chadha, A., Gupta, A., Tewari, V., &amp; Dwivedi, Y. K. (2025). Sustainable practices: </w:t>
      </w:r>
      <w:r>
        <w:rPr>
          <w:rFonts w:ascii="Times New Roman" w:hAnsi="Times New Roman" w:cs="Times New Roman"/>
          <w:sz w:val="24"/>
        </w:rPr>
        <w:lastRenderedPageBreak/>
        <w:t>organisational citizenship behaviour and psychological contract fulfilment. Management Decision, 63(5), 1674-1702.</w:t>
      </w:r>
    </w:p>
    <w:p w14:paraId="3F445389"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Han, Z., Chen, M., &amp; Jiang, C. (2025). Influence of responsible leadership on employee green behavior: the role of green role identity and green human resource management. Environment, Development and Sustainability, 27(2), 2985-3001.</w:t>
      </w:r>
    </w:p>
    <w:p w14:paraId="3B45938C"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Priatna, D. K., Farooq, K., Yusliza, M. Y., Muhammad, Z., Alkaf, A. R., &amp; Siswanti, I. (2025). Employee ecological behavior through green transformational leadership: the mediating role of green HRM practices and green organizational climate. Journal of Management Development.</w:t>
      </w:r>
    </w:p>
    <w:p w14:paraId="773A4776"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Kim, B. J., &amp; Kim, M. J. (2024). The impact of unstable jobs on pro-environmental behavior: the critical role of ethical leadership. Current Psychology, 43(48), 36944-36963.</w:t>
      </w:r>
    </w:p>
    <w:p w14:paraId="11D45F66"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Zhao, S., Renxi, W., Giglio, C., &amp; Appolloni, A. (2025). Impact of Leadership Styles and Organisational Citizenship Behaviours on Organisational Green Innovation Performance: The Moderating Role of Organisational Legitimacy. Business Strategy and the Environment.</w:t>
      </w:r>
    </w:p>
    <w:p w14:paraId="1B5C8454"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Lathabhavan, R., &amp; Bharti, T. (2024). Exploring the linkage of green values and green attitude in green behaviour: moderating role of green climate among Indian employees. Social Responsibility Journal, 20(10), 2008-2024.</w:t>
      </w:r>
    </w:p>
    <w:p w14:paraId="474D4DCD"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Meirun, T., Ahmed, Z., Alzoubi, R. H., Khosa, M., &amp; Nguyen, N. T. (2024). The road to eco-excellence: How does environmentally specific empowering leadership foster hospitality employees’ green creativity through green creative self-efficacy and green learning orientation. International Journal of Hospitality Management, 120, 103790.</w:t>
      </w:r>
    </w:p>
    <w:p w14:paraId="7BAE8FA7"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Alabdali, M. A., Yaqub, M. Z., Agarwal, R., Alofaysan, H., &amp; Mohapatra, A. K. (2024). Unveiling green digital transformational leadership: Nexus between green digital culture, green digital mindset, and green digital transformation. Journal of cleaner production, 450, 141670.</w:t>
      </w:r>
    </w:p>
    <w:p w14:paraId="72CA063B"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Mughal, M. F., Cai, S., Faraz, N. A., Haiying, C., &amp; Poulova, P. (2024). Green servant leadership and employees’ workplace green behavior: Interplay of green self-efficacy, green work engagement, and environmental passion. Current Psychology, 43(33), 26806-26822.</w:t>
      </w:r>
    </w:p>
    <w:p w14:paraId="4B5DFC58"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Song, W., Cheng, W., Yang, G., &amp; Peng, X. (2024). Unraveling the influence of perceived corporate social responsibility on employee green innovation behavior: the roles of employee well-being and moral self-efficacy. Environment, Development and Sustainability, 1-25.</w:t>
      </w:r>
    </w:p>
    <w:p w14:paraId="6FA69FFF"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Mostafa, B. A. (2025). Nurturing Psychological Contract Fulfillment: Internal CSR and Employee Advocacy in the Telecommunication Sector. Corporate Reputation Review, 1-19.</w:t>
      </w:r>
    </w:p>
    <w:p w14:paraId="6654E648"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Chen, J., &amp; Zhang, A. (2024). Greening the cubicle: unraveling the impact of corporate environmental ethics on employees’ green innovative behavior through the affective events theory. Current Psychology, 43(31), 25820-25835.</w:t>
      </w:r>
    </w:p>
    <w:p w14:paraId="621340AE"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 xml:space="preserve">Ullah, S., Kukreti, M., Sami, A., &amp; Shaukat, M. R. (2025). Leveraging </w:t>
      </w:r>
      <w:r>
        <w:rPr>
          <w:rFonts w:ascii="Times New Roman" w:hAnsi="Times New Roman" w:cs="Times New Roman"/>
          <w:sz w:val="24"/>
        </w:rPr>
        <w:lastRenderedPageBreak/>
        <w:t>technological readiness and green dynamic capability to enhance sustainability performance in manufacturing firms. Journal of Manufacturing Technology Management, 36(3), 714-730.</w:t>
      </w:r>
    </w:p>
    <w:p w14:paraId="17A53BF7"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Saeed, J., Mehmood, N., Aftab, S., Irum, S., &amp; Muhammad, A. (2024). Unlocking sustainability: the dynamic nexus of organizational support, identification, and green HRM practices in cultivating pro-environmental excellence. foresight, (ahead-of-print).</w:t>
      </w:r>
    </w:p>
    <w:p w14:paraId="38FA23A9"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Loedphacharakamon, N., &amp; Worakittikul, W. (2025). TQM and sustainable hospitality: unpacking the link between green culture, employee behavior, and hotel performance. Cogent Business &amp; Management, 12(1), 2499948.</w:t>
      </w:r>
    </w:p>
    <w:p w14:paraId="6F36D552"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Xiao, Y., Tao, X., Chen, P., &amp; Kee, D. M. H. (2024). Leading with purpose: Unraveling the impact of responsible leadership on employee green behavior in the workplace. Heliyon, 10(9).</w:t>
      </w:r>
    </w:p>
    <w:p w14:paraId="25A29D35"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li, J., Gao, Z., li, X., &amp; Xing, B. (2025). Effect of green organizational culture on employee green organizational commitment: a moderated—mediated model of employee green self-efficacy and organizational identity. Discover Sustainability, 6(1), 223.</w:t>
      </w:r>
    </w:p>
    <w:p w14:paraId="6A75BBD0"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Ahmed, Z., Khosa, M., Nguyen, N. T., Kayode Ibikunle, A., Abbas, J., &amp; Akhtar, A. (2025). Green entrepreneurial leadership as a catalyst of green service innovative behaviour: a serial mediation model with a dual theoretical lens. Journal of Entrepreneurship in Emerging Economies.</w:t>
      </w:r>
    </w:p>
    <w:p w14:paraId="41B3184B"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Gazi, M. A. I., Hossain, M. M., Islam, S., Al Masud, A., Amin, M. B., Senathirajah, A. R. B. S., &amp; Abdullah, M. (2025). Effect of corporate social responsibility on sustainable environmental performance: mediating effects of green capability and green transformational leadership; moderating effects of top management environmental concern and perceived organizational support. Environment, Development and Sustainability, 1-34.</w:t>
      </w:r>
    </w:p>
    <w:p w14:paraId="0EB7C725"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Luo, J., Ng, L. P., &amp; Choong, Y. O. (2025). The effect of responsible leadership on organizational citizenship behavior: double mediation of gratitude and organizational identification. BMC psychology, 13(1), 6.</w:t>
      </w:r>
    </w:p>
    <w:p w14:paraId="3B5F9E60"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Wang, G., Ain Aslam, Q. U., Mushtaq, N., Liaqat, A., &amp; Asmi, F. (2025). Can responsible leaders transmute sustainability &amp; OCBE among manufacturers in developing economy? A mediated moderated approach for organizational sustainability. BMC Psychology, 13(1), 78.</w:t>
      </w:r>
    </w:p>
    <w:p w14:paraId="5E4B8ABC"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Li, C., Abredu, P., Kwasi Sampene, A., &amp; Oteng Agyeman, F. (2025). Does Green Human Resource Management Stimulate Employees’ Green Behavior Through a Green Psychological Climate?. SAGE Open, 15(1), 21582440241279274.</w:t>
      </w:r>
    </w:p>
    <w:p w14:paraId="1316418A"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Jabeen, R., Mehmood, S., Ahmed, M., Ghani, T., Javaid, Z. K., &amp; Popp, J. (2025). The role of green HRM on environmental performance: Mediating role of green ambidexterity and green behavior and moderating role of responsible leadership. Journal of Chinese Human Resources Management, 15(2), 70-90.</w:t>
      </w:r>
    </w:p>
    <w:p w14:paraId="57DD0C8B"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 xml:space="preserve">Ganji, N., Shahriari, M., &amp; Nezami, M. (2025). Impact of corporate social responsibility on employee green behavior: the mediating roles of green organizational identity and organizational commitment. Environment, </w:t>
      </w:r>
      <w:r>
        <w:rPr>
          <w:rFonts w:ascii="Times New Roman" w:hAnsi="Times New Roman" w:cs="Times New Roman"/>
          <w:sz w:val="24"/>
        </w:rPr>
        <w:lastRenderedPageBreak/>
        <w:t>Development and Sustainability, 1-20.</w:t>
      </w:r>
    </w:p>
    <w:p w14:paraId="5637204A"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Zhou, B., &amp; Zhang, S. (2025). How does green psychological climate improve voluntary workplace green behavior? A moderated mediation model centered on green satisfaction. Journal of Environmental Management, 373, 123925.</w:t>
      </w:r>
    </w:p>
    <w:p w14:paraId="1BDE9106"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Owusu, E. A., Zhou, L., Sarpong, F. A., Sampene, A. K., Antwi, H. A., Arboh, F., ... &amp; Yunus, A. (2025). Exploring the Impact of Green Performance on Employees' Pro‐Environmental Behaviors: A Multi‐Group Analysis From Developed and Emerging Economies Healthcare Industries. Business Strategy and the Environment.</w:t>
      </w:r>
    </w:p>
    <w:p w14:paraId="446E5A5D"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Aycan, Z., Cinli, D., &amp; Robertson, J. L. (2025). Green leadership’s predictors and outcomes. Nature Reviews Psychology, 1-15.</w:t>
      </w:r>
    </w:p>
    <w:p w14:paraId="588D6AB0"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Loedphacharakamon, N., &amp; Worakittikul, W. (2025). TQM and sustainable hospitality: unpacking the link between green culture, employee behavior, and hotel performance. Cogent Business &amp; Management, 12(1), 2499948.</w:t>
      </w:r>
    </w:p>
    <w:p w14:paraId="4442D806"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Priatna, D. K., Farooq, K., Yusliza, M. Y., Muhammad, Z., Alkaf, A. R., &amp; Siswanti, I. (2025). Employee ecological behavior through green transformational leadership: the mediating role of green HRM practices and green organizational climate. Journal of Management Development.</w:t>
      </w:r>
    </w:p>
    <w:p w14:paraId="53664235"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Zhang, R., Liu, Y., Wang, X., &amp; Luo, Y. (2025). Amoral barriers to eco-engagement: how and when supervisor bottom</w:t>
      </w:r>
      <w:r>
        <w:rPr>
          <w:rFonts w:ascii="Times New Roman" w:hAnsi="Times New Roman" w:cs="Times New Roman"/>
          <w:sz w:val="24"/>
        </w:rPr>
        <w:noBreakHyphen/>
        <w:t>line mentality inhibits Extra-role employee green behavior. Current Psychology, 1-15.</w:t>
      </w:r>
    </w:p>
    <w:p w14:paraId="1506D7E7"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Ding, W., &amp; Rafiq, M. (2025). Sustaining Talent: The Role of Personal Norms in the Relationship Between Green Practices and Employee Retention. Sustainability, 17(10), 4471.</w:t>
      </w:r>
    </w:p>
    <w:p w14:paraId="42957AEE"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Zhao, S., Renxi, W., Giglio, C., &amp; Appolloni, A. (2025). Impact of Leadership Styles and Organisational Citizenship Behaviours on Organisational Green Innovation Performance: The Moderating Role of Organisational Legitimacy. Business Strategy and the Environment.</w:t>
      </w:r>
    </w:p>
    <w:p w14:paraId="7B99D745"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Chadha, A., Gupta, A., Tewari, V., &amp; Dwivedi, Y. K. (2025). Sustainable practices: organisational citizenship behaviour and psychological contract fulfilment. Management Decision, 63(5), 1674-1702.</w:t>
      </w:r>
    </w:p>
    <w:p w14:paraId="57E477F6"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Han, Z., Chen, M., &amp; Jiang, C. (2025). Influence of responsible leadership on employee green behavior: the role of green role identity and green human resource management. Environment, Development and Sustainability, 27(2), 2985-3001.</w:t>
      </w:r>
    </w:p>
    <w:p w14:paraId="72DB08FB"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Waqas, M., Tahir, A. H., Tariq, H., &amp; Khan, A. R. (2025). Leading for a greener tomorrow: how and when green transformational leadership fosters green innovative service behavior. Journal of Service Theory and Practice.</w:t>
      </w:r>
    </w:p>
    <w:p w14:paraId="57F4859C"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Alam, M. N. (2025). Generation Z and Green Leadership: Shaping Sustainable Hospitality Practices in Bangladesh. Journal of Culinary Science &amp; Technology, 1-46.</w:t>
      </w:r>
    </w:p>
    <w:p w14:paraId="5AB69866"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 xml:space="preserve">Asbeetah, Z., Alzubi, A., Khadem, A., &amp; Iyiola, K. (2025). Harnessing Digital Transformation for Sustainable Performance: Exploring the Mediating Roles of Green Knowledge Acquisition and Innovation Performance Under Digital </w:t>
      </w:r>
      <w:r>
        <w:rPr>
          <w:rFonts w:ascii="Times New Roman" w:hAnsi="Times New Roman" w:cs="Times New Roman"/>
          <w:sz w:val="24"/>
        </w:rPr>
        <w:lastRenderedPageBreak/>
        <w:t>Transformational Leadership. Sustainability, 17(5), 2285.</w:t>
      </w:r>
    </w:p>
    <w:p w14:paraId="2A015C05"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Yin, C., Tan, J., &amp; Deng, Y. (2025). Corporate Social Responsibility Motive Attributions and Green Behaviors: Moderating Effect of Green Intrinsic Motivation. Sustainability, 17(4), 1651.</w:t>
      </w:r>
    </w:p>
    <w:p w14:paraId="1133F2ED"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Sun, Y., Shahzad, M., Ali, A., &amp; Razzaq, A. (2025). Synergistic effect of green knowledge sharing and green creative climate for circular economy practices: role of artificial intelligence information quality. Journal of Manufacturing Technology Management.</w:t>
      </w:r>
    </w:p>
    <w:p w14:paraId="10FB300A"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Badar, K., &amp; Siddiquei, A. N. (2025). Unleashing green innovation: navigating the path with green inclusive leadership, green knowledge management and internal CSR communication. Journal of Business &amp; Industrial Marketing, 40(2), 298-312.</w:t>
      </w:r>
    </w:p>
    <w:p w14:paraId="0F6E9D1E"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Elshaer, I. A., Azazz, A. M., Mansour, M. A., &amp; Fayyad, S. (2025). Perceived greenwashing and employee non-green behavior: the roles of prevention-focused green crafting and work alienation. Cogent Business &amp; Management, 12(1), 2449592.</w:t>
      </w:r>
    </w:p>
    <w:p w14:paraId="218E4531"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Ullah, S., Kukreti, M., Sami, A., &amp; Shaukat, M. R. (2025). Leveraging technological readiness and green dynamic capability to enhance sustainability performance in manufacturing firms. Journal of Manufacturing Technology Management, 36(3), 714-730.</w:t>
      </w:r>
    </w:p>
    <w:p w14:paraId="6A01329A"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Xi, Q., Li, Z., Zhao, J., &amp; Ding, J. (2025). How Can Technology Orientation Promote Green Process Innovation? The Mediating Effect of Digital Capability and the Moderating Role of Innovation-Oriented Leadership. Sustainability, 17(9), 4071.</w:t>
      </w:r>
    </w:p>
    <w:p w14:paraId="4AFF3AED"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Sadiq, M., Leong, M. K., Salim, A. S., &amp; Jiayao, Z. (2025). Fostering entrepreneurial success through the predictive role of knowledge management, green creativity, green social behavior, dynamic capabilities, business environment and green service innovation. International Entrepreneurship and Management Journal, 21(1), 1-27.</w:t>
      </w:r>
    </w:p>
    <w:p w14:paraId="3C846F0A"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Mo, Z., Liu, M. T., &amp; Lai, I. K. W. (2025). The dynamic joint roles of green human resource management and environmentally specific transformational leadership on team green behavior. Tourism Management, 107, 105046.</w:t>
      </w:r>
    </w:p>
    <w:p w14:paraId="3FA49D69"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Lu, J., Yan, S., Ogbonnaya, C., Gorny, T., Song, M., &amp; Wang, C. (2025). Unpacking the Linkage Between Green Volunteering and Ethical Leadership Behavior in Managers. Journal of Business Ethics, 1-16.</w:t>
      </w:r>
    </w:p>
    <w:p w14:paraId="2937A9A0"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Saleh, M. S. M., Abdelwahid, A. E. E. A., Elsabahy, H. E., Eltahan, A. A., &amp; Ata, A. A. (2025). Visionary leadership: the mediating role of organizational support on nurse interns’ creativity and organizational effectiveness. BMC nursing, 24(1), 400.</w:t>
      </w:r>
    </w:p>
    <w:p w14:paraId="577328DA"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Chen, X., Chen, Y., Zhang, X., &amp; He, Q. (2025). Green transformational leadership and green innovation in megaprojects: is green knowledge sharing a missing link?. Engineering, Construction and Architectural Management, 32(1), 194-213.</w:t>
      </w:r>
    </w:p>
    <w:p w14:paraId="77F32934"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 xml:space="preserve">Darvishmotevali, M. (2025). A comparative study of job insecurity: who suffers </w:t>
      </w:r>
      <w:r>
        <w:rPr>
          <w:rFonts w:ascii="Times New Roman" w:hAnsi="Times New Roman" w:cs="Times New Roman"/>
          <w:sz w:val="24"/>
        </w:rPr>
        <w:lastRenderedPageBreak/>
        <w:t>more?. International Journal of Contemporary Hospitality Management.</w:t>
      </w:r>
    </w:p>
    <w:p w14:paraId="4680B351"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Hao, X., Miao, E., Wen, S., Wu, H., &amp; Xue, Y. (2025). Executive Green Cognition on Corporate Greenwashing Behavior: Evidence From A‐Share Listed Companies in China. Business Strategy and the Environment, 34(2), 2012-2034.</w:t>
      </w:r>
    </w:p>
    <w:p w14:paraId="526BF4FB"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Wen, J., Wang, H., Huang, S., &amp; Jia, G. (2025). Effect of peer-to-peer accommodation customer misbehavior on host’s proactive customer service performance. Journal of Hospitality Marketing &amp; Management, 1-26.</w:t>
      </w:r>
    </w:p>
    <w:p w14:paraId="12A210C3"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Hao, X., Miao, E., Wen, S., Wu, H., &amp; Xue, Y. (2025). Executive Green Cognition on Corporate Greenwashing Behavior: Evidence From A‐Share Listed Companies in China. Business Strategy and the Environment, 34(2), 2012-2034.</w:t>
      </w:r>
    </w:p>
    <w:p w14:paraId="6E69B891"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Bandura, A. (2001). Social cognitive theory: An agentic perspective. Annual Review of Psychology, 52, 1–26. https://doi.org/10.1146/annurev.psych.52.1.1</w:t>
      </w:r>
    </w:p>
    <w:p w14:paraId="68DA8790"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Blau, P. M. (1964). Exchange and power in social life. New York: Wiley.</w:t>
      </w:r>
    </w:p>
    <w:p w14:paraId="228F86F1"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Chen, Y. S., &amp; Chang, C. H. (2013). The determinants of green product innovation performance: Green dynamic capabilities, green transformational leadership, and green creativity. Journal of Business Ethics, 116(1), 107–119. https://doi.org/10.1007/s10551-012-1452-x</w:t>
      </w:r>
    </w:p>
    <w:p w14:paraId="7738870A"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 xml:space="preserve">Eisenberger, R., Huntington, R., Hutchison, S., &amp; Sowa, D. (1986). Perceived organizational support. Journal of Applied Psychology, 71(3), 500–507. </w:t>
      </w:r>
      <w:hyperlink r:id="rId9" w:tgtFrame="_new" w:history="1">
        <w:r>
          <w:rPr>
            <w:rFonts w:ascii="Times New Roman" w:hAnsi="Times New Roman" w:cs="Times New Roman"/>
            <w:sz w:val="24"/>
          </w:rPr>
          <w:t>https://doi.org/10.1037/0021-9010.71.3.500</w:t>
        </w:r>
      </w:hyperlink>
    </w:p>
    <w:p w14:paraId="4EA19360" w14:textId="77777777" w:rsidR="00147AD9" w:rsidRDefault="00000000">
      <w:pPr>
        <w:numPr>
          <w:ilvl w:val="0"/>
          <w:numId w:val="1"/>
        </w:numPr>
        <w:rPr>
          <w:rFonts w:ascii="Times New Roman" w:hAnsi="Times New Roman" w:cs="Times New Roman"/>
          <w:sz w:val="24"/>
        </w:rPr>
      </w:pPr>
      <w:r>
        <w:rPr>
          <w:rFonts w:ascii="Times New Roman" w:hAnsi="Times New Roman" w:cs="Times New Roman"/>
          <w:sz w:val="24"/>
        </w:rPr>
        <w:t>Chen K, Mei J, Sun W. The Impact of Egoistic Motivations on Green Purchasing Behavior: The Mediating Roles of Symbolic and Functional Benefits in China. Sustainability. 2025; 17(11):5180. https://doi.org/10.3390/su17115180</w:t>
      </w:r>
    </w:p>
    <w:p w14:paraId="279FB6BF" w14:textId="77777777" w:rsidR="00147AD9" w:rsidRDefault="00147AD9">
      <w:pPr>
        <w:rPr>
          <w:rFonts w:ascii="Times New Roman" w:hAnsi="Times New Roman" w:cs="Times New Roman"/>
          <w:sz w:val="24"/>
        </w:rPr>
      </w:pPr>
    </w:p>
    <w:sectPr w:rsidR="00147A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方正大黑体_GBK">
    <w:altName w:val="微软雅黑"/>
    <w:panose1 w:val="020B0604020202020204"/>
    <w:charset w:val="86"/>
    <w:family w:val="auto"/>
    <w:pitch w:val="default"/>
    <w:sig w:usb0="00000001" w:usb1="080E0000" w:usb2="00000000" w:usb3="00000000" w:csb0="40040001" w:csb1="C0D6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2CCB1"/>
    <w:multiLevelType w:val="singleLevel"/>
    <w:tmpl w:val="28B2CCB1"/>
    <w:lvl w:ilvl="0">
      <w:start w:val="1"/>
      <w:numFmt w:val="decimal"/>
      <w:lvlText w:val="%1."/>
      <w:lvlJc w:val="left"/>
      <w:pPr>
        <w:ind w:left="425" w:hanging="425"/>
      </w:pPr>
      <w:rPr>
        <w:rFonts w:hint="default"/>
      </w:rPr>
    </w:lvl>
  </w:abstractNum>
  <w:num w:numId="1" w16cid:durableId="1521235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aveSubsetFonts/>
  <w:hideSpellingErrors/>
  <w:hideGrammaticalError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D9"/>
    <w:rsid w:val="00147AD9"/>
    <w:rsid w:val="002A71C9"/>
    <w:rsid w:val="00D315B5"/>
    <w:rsid w:val="036E04F6"/>
    <w:rsid w:val="042319D4"/>
    <w:rsid w:val="0BD837BD"/>
    <w:rsid w:val="146175AC"/>
    <w:rsid w:val="1B02294C"/>
    <w:rsid w:val="1CE335AC"/>
    <w:rsid w:val="1DFD146E"/>
    <w:rsid w:val="224A322D"/>
    <w:rsid w:val="24D25ABF"/>
    <w:rsid w:val="289D20A3"/>
    <w:rsid w:val="28AC7710"/>
    <w:rsid w:val="28EB79AD"/>
    <w:rsid w:val="28F40AF7"/>
    <w:rsid w:val="2AB253C7"/>
    <w:rsid w:val="30A60FDC"/>
    <w:rsid w:val="323056CE"/>
    <w:rsid w:val="33E83C08"/>
    <w:rsid w:val="3702134C"/>
    <w:rsid w:val="4470568D"/>
    <w:rsid w:val="4C626D5B"/>
    <w:rsid w:val="4DDF5D1D"/>
    <w:rsid w:val="500F2613"/>
    <w:rsid w:val="507B7E86"/>
    <w:rsid w:val="510217A4"/>
    <w:rsid w:val="55BB2AD2"/>
    <w:rsid w:val="56C1236A"/>
    <w:rsid w:val="5A0C5FF2"/>
    <w:rsid w:val="5B92201D"/>
    <w:rsid w:val="64B33843"/>
    <w:rsid w:val="64CD021D"/>
    <w:rsid w:val="69E27CD0"/>
    <w:rsid w:val="77864B76"/>
    <w:rsid w:val="7B927157"/>
    <w:rsid w:val="7D1D3DD4"/>
    <w:rsid w:val="7D723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4DD04F5"/>
  <w15:docId w15:val="{347195B4-8EB8-C64A-B75A-EB2A739F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paragraph" w:customStyle="1" w:styleId="MDPI21heading1">
    <w:name w:val="MDPI_2.1_heading1"/>
    <w:qFormat/>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14:ligatures w14:val="standardContextual"/>
    </w:rPr>
  </w:style>
  <w:style w:type="character" w:customStyle="1" w:styleId="font11">
    <w:name w:val="font11"/>
    <w:basedOn w:val="a0"/>
    <w:qFormat/>
    <w:rPr>
      <w:rFonts w:ascii="宋体" w:eastAsia="宋体" w:hAnsi="宋体" w:cs="宋体" w:hint="eastAsia"/>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37/0021-9010.71.3.500"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14463</Words>
  <Characters>82444</Characters>
  <Application>Microsoft Office Word</Application>
  <DocSecurity>0</DocSecurity>
  <Lines>687</Lines>
  <Paragraphs>193</Paragraphs>
  <ScaleCrop>false</ScaleCrop>
  <Company/>
  <LinksUpToDate>false</LinksUpToDate>
  <CharactersWithSpaces>96714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梅见华</dc:creator>
  <cp:lastModifiedBy>CHENKECUN</cp:lastModifiedBy>
  <cp:revision>2</cp:revision>
  <dcterms:created xsi:type="dcterms:W3CDTF">2025-09-14T02:25:00Z</dcterms:created>
  <dcterms:modified xsi:type="dcterms:W3CDTF">2025-09-14T02:25:00Z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eyJoZGlkIjoiNjUyYjM1MDgyZTIwOTQxN2Q1MGY4ZTg4OGFjZWRjZmUiLCJ1c2VySWQiOiIzOTEwMDM4NzAifQ==</vt:lpwstr>
  </property>
  <property fmtid="{D5CDD505-2E9C-101B-9397-08002B2CF9AE}" pid="4" name="ICV">
    <vt:lpwstr>EB0395C86D48470EB92FB52351A2FB71_13</vt:lpwstr>
  </property>
</Properties>
</file>